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1,402,591.00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1,402,591.00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1,402,591.00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2"/>
        <w:gridCol w:w="9073"/>
      </w:tblGrid>
      <w:tr>
        <w:trPr/>
        <w:tc>
          <w:tcPr>
            <w:tcW w:w="1132"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MAXCYTE, INC.</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9713 KEY WEST AVENUE, SUITE 400 ROCKVILLE MD 20850</w:t>
            </w:r>
          </w:p>
        </w:tc>
      </w:tr>
      <w:tr>
        <w:trPr/>
        <w:tc>
          <w:tcPr>
            <w:tcW w:w="1132"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2"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2"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r>
      <w:tr>
        <w:trPr/>
        <w:tc>
          <w:tcPr>
            <w:tcW w:w="1132"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r>
      <w:tr>
        <w:trPr/>
        <w:tc>
          <w:tcPr>
            <w:tcW w:w="1132"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1402591</w:t>
            </w:r>
          </w:p>
        </w:tc>
      </w:tr>
      <w:tr>
        <w:trPr/>
        <w:tc>
          <w:tcPr>
            <w:tcW w:w="1132"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1.3  % </w:t>
            </w:r>
          </w:p>
        </w:tc>
      </w:tr>
      <w:tr>
        <w:trPr/>
        <w:tc>
          <w:tcPr>
            <w:tcW w:w="1132"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1402591</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1402591</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2"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2"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MAXCYTE, INC.. No one person's interest in the common stock of MAXCYTE, INC. is more than five percent of the total outstanding common shares.</w:t>
            </w:r>
          </w:p>
        </w:tc>
      </w:tr>
      <w:tr>
        <w:trPr/>
        <w:tc>
          <w:tcPr>
            <w:tcW w:w="1132"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2"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r>
        <w:trPr/>
        <w:tc>
          <w:tcPr>
            <w:tcW w:w="1132"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r>
      <w:tr>
        <w:trPr/>
        <w:tc>
          <w:tcPr>
            <w:tcW w:w="1132"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1272</Words>
  <Characters>6589</Characters>
  <CharactersWithSpaces>7779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