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MAXCYTE,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Equity</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Nusayhah Ghaboos</w:t>
              <w:br/>
              <w:t xml:space="preserve">30 Coleman Street, </w:t>
              <w:br/>
              <w:t>London, X0, EC2R 5AL</w:t>
              <w:br/>
              <w:t>0203 908 8791</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6"/>
        <w:gridCol w:w="8069"/>
      </w:tblGrid>
      <w:tr>
        <w:trPr/>
        <w:tc>
          <w:tcPr>
            <w:tcW w:w="2136" w:type="dxa"/>
            <w:tcBorders/>
            <w:vAlign w:val="center"/>
          </w:tcPr>
          <w:p>
            <w:pPr>
              <w:pStyle w:val="TableContents"/>
              <w:bidi w:val="0"/>
              <w:spacing w:before="0" w:after="283"/>
              <w:jc w:val="left"/>
              <w:rPr/>
            </w:pPr>
            <w:r>
              <w:rPr/>
              <w:t>1</w:t>
            </w:r>
          </w:p>
        </w:tc>
        <w:tc>
          <w:tcPr>
            <w:tcW w:w="8069"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RIVER GLOBAL INVESTORS LLP</w:t>
            </w:r>
          </w:p>
        </w:tc>
      </w:tr>
      <w:tr>
        <w:trPr/>
        <w:tc>
          <w:tcPr>
            <w:tcW w:w="2136" w:type="dxa"/>
            <w:tcBorders/>
            <w:vAlign w:val="center"/>
          </w:tcPr>
          <w:p>
            <w:pPr>
              <w:pStyle w:val="TableContents"/>
              <w:bidi w:val="0"/>
              <w:spacing w:before="0" w:after="283"/>
              <w:jc w:val="left"/>
              <w:rPr/>
            </w:pPr>
            <w:r>
              <w:rPr/>
              <w:t>2</w:t>
            </w:r>
          </w:p>
        </w:tc>
        <w:tc>
          <w:tcPr>
            <w:tcW w:w="806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6" w:type="dxa"/>
            <w:tcBorders/>
            <w:vAlign w:val="center"/>
          </w:tcPr>
          <w:p>
            <w:pPr>
              <w:pStyle w:val="TableContents"/>
              <w:bidi w:val="0"/>
              <w:spacing w:before="0" w:after="283"/>
              <w:jc w:val="left"/>
              <w:rPr/>
            </w:pPr>
            <w:r>
              <w:rPr/>
              <w:t>3</w:t>
            </w:r>
          </w:p>
        </w:tc>
        <w:tc>
          <w:tcPr>
            <w:tcW w:w="8069" w:type="dxa"/>
            <w:tcBorders/>
            <w:vAlign w:val="center"/>
          </w:tcPr>
          <w:p>
            <w:pPr>
              <w:pStyle w:val="TableContents"/>
              <w:bidi w:val="0"/>
              <w:spacing w:before="0" w:after="283"/>
              <w:jc w:val="left"/>
              <w:rPr/>
            </w:pPr>
            <w:r>
              <w:rPr/>
              <w:t>SEC use only</w:t>
            </w:r>
          </w:p>
        </w:tc>
      </w:tr>
      <w:tr>
        <w:trPr/>
        <w:tc>
          <w:tcPr>
            <w:tcW w:w="2136" w:type="dxa"/>
            <w:tcBorders/>
            <w:vAlign w:val="center"/>
          </w:tcPr>
          <w:p>
            <w:pPr>
              <w:pStyle w:val="TableContents"/>
              <w:bidi w:val="0"/>
              <w:spacing w:before="0" w:after="283"/>
              <w:jc w:val="left"/>
              <w:rPr/>
            </w:pPr>
            <w:r>
              <w:rPr/>
              <w:t>4</w:t>
            </w:r>
          </w:p>
        </w:tc>
        <w:tc>
          <w:tcPr>
            <w:tcW w:w="8069"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6" w:type="dxa"/>
            <w:tcBorders/>
            <w:vAlign w:val="center"/>
          </w:tcPr>
          <w:p>
            <w:pPr>
              <w:pStyle w:val="TableContents"/>
              <w:bidi w:val="0"/>
              <w:spacing w:before="0" w:after="283"/>
              <w:jc w:val="left"/>
              <w:rPr/>
            </w:pPr>
            <w:r>
              <w:rPr/>
              <w:t>5</w:t>
            </w:r>
          </w:p>
        </w:tc>
        <w:tc>
          <w:tcPr>
            <w:tcW w:w="8069"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6" w:type="dxa"/>
            <w:tcBorders/>
            <w:vAlign w:val="center"/>
          </w:tcPr>
          <w:p>
            <w:pPr>
              <w:pStyle w:val="TableContents"/>
              <w:bidi w:val="0"/>
              <w:spacing w:before="0" w:after="283"/>
              <w:jc w:val="left"/>
              <w:rPr/>
            </w:pPr>
            <w:r>
              <w:rPr/>
              <w:t>6</w:t>
            </w:r>
          </w:p>
        </w:tc>
        <w:tc>
          <w:tcPr>
            <w:tcW w:w="806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36"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834,100.00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834,100.00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69" w:type="dxa"/>
            <w:tcBorders/>
            <w:vAlign w:val="center"/>
          </w:tcPr>
          <w:p>
            <w:pPr>
              <w:pStyle w:val="TableContents"/>
              <w:bidi w:val="0"/>
              <w:spacing w:before="0" w:after="283"/>
              <w:jc w:val="left"/>
              <w:rPr>
                <w:sz w:val="4"/>
                <w:szCs w:val="4"/>
              </w:rPr>
            </w:pPr>
            <w:r>
              <w:rPr>
                <w:sz w:val="4"/>
                <w:szCs w:val="4"/>
              </w:rPr>
            </w:r>
          </w:p>
        </w:tc>
      </w:tr>
      <w:tr>
        <w:trPr/>
        <w:tc>
          <w:tcPr>
            <w:tcW w:w="2136" w:type="dxa"/>
            <w:tcBorders/>
            <w:vAlign w:val="center"/>
          </w:tcPr>
          <w:p>
            <w:pPr>
              <w:pStyle w:val="TableContents"/>
              <w:bidi w:val="0"/>
              <w:spacing w:before="0" w:after="283"/>
              <w:jc w:val="left"/>
              <w:rPr/>
            </w:pPr>
            <w:r>
              <w:rPr/>
              <w:t>11</w:t>
            </w:r>
          </w:p>
        </w:tc>
        <w:tc>
          <w:tcPr>
            <w:tcW w:w="806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834,100.00</w:t>
            </w:r>
          </w:p>
        </w:tc>
      </w:tr>
      <w:tr>
        <w:trPr/>
        <w:tc>
          <w:tcPr>
            <w:tcW w:w="2136" w:type="dxa"/>
            <w:tcBorders/>
            <w:vAlign w:val="center"/>
          </w:tcPr>
          <w:p>
            <w:pPr>
              <w:pStyle w:val="TableContents"/>
              <w:bidi w:val="0"/>
              <w:spacing w:before="0" w:after="283"/>
              <w:jc w:val="left"/>
              <w:rPr/>
            </w:pPr>
            <w:r>
              <w:rPr/>
              <w:t>12</w:t>
            </w:r>
          </w:p>
        </w:tc>
        <w:tc>
          <w:tcPr>
            <w:tcW w:w="8069"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6" w:type="dxa"/>
            <w:tcBorders/>
            <w:vAlign w:val="center"/>
          </w:tcPr>
          <w:p>
            <w:pPr>
              <w:pStyle w:val="TableContents"/>
              <w:bidi w:val="0"/>
              <w:spacing w:before="0" w:after="283"/>
              <w:jc w:val="left"/>
              <w:rPr/>
            </w:pPr>
            <w:r>
              <w:rPr/>
              <w:t>13</w:t>
            </w:r>
          </w:p>
        </w:tc>
        <w:tc>
          <w:tcPr>
            <w:tcW w:w="8069"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0.8 % </w:t>
            </w:r>
          </w:p>
        </w:tc>
      </w:tr>
      <w:tr>
        <w:trPr/>
        <w:tc>
          <w:tcPr>
            <w:tcW w:w="2136" w:type="dxa"/>
            <w:tcBorders/>
            <w:vAlign w:val="center"/>
          </w:tcPr>
          <w:p>
            <w:pPr>
              <w:pStyle w:val="TableContents"/>
              <w:bidi w:val="0"/>
              <w:spacing w:before="0" w:after="283"/>
              <w:jc w:val="left"/>
              <w:rPr/>
            </w:pPr>
            <w:r>
              <w:rPr/>
              <w:t>14</w:t>
            </w:r>
          </w:p>
        </w:tc>
        <w:tc>
          <w:tcPr>
            <w:tcW w:w="806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IV</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45"/>
        <w:gridCol w:w="9060"/>
      </w:tblGrid>
      <w:tr>
        <w:trPr/>
        <w:tc>
          <w:tcPr>
            <w:tcW w:w="1145" w:type="dxa"/>
            <w:tcBorders/>
            <w:vAlign w:val="center"/>
          </w:tcPr>
          <w:p>
            <w:pPr>
              <w:pStyle w:val="TableContents"/>
              <w:bidi w:val="0"/>
              <w:spacing w:before="0" w:after="283"/>
              <w:jc w:val="left"/>
              <w:rPr/>
            </w:pPr>
            <w:r>
              <w:rPr/>
              <w:t>Item 1.</w:t>
            </w:r>
          </w:p>
        </w:tc>
        <w:tc>
          <w:tcPr>
            <w:tcW w:w="9060" w:type="dxa"/>
            <w:tcBorders/>
            <w:vAlign w:val="center"/>
          </w:tcPr>
          <w:p>
            <w:pPr>
              <w:pStyle w:val="TableContents"/>
              <w:bidi w:val="0"/>
              <w:spacing w:before="0" w:after="283"/>
              <w:jc w:val="left"/>
              <w:rPr/>
            </w:pPr>
            <w:r>
              <w:rPr/>
              <w:t>Security and Issuer</w:t>
            </w:r>
          </w:p>
        </w:tc>
      </w:tr>
      <w:tr>
        <w:trPr/>
        <w:tc>
          <w:tcPr>
            <w:tcW w:w="1145"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Equity</w:t>
            </w:r>
          </w:p>
        </w:tc>
      </w:tr>
      <w:tr>
        <w:trPr/>
        <w:tc>
          <w:tcPr>
            <w:tcW w:w="1145"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jc w:val="left"/>
              <w:rPr/>
            </w:pPr>
            <w:r>
              <w:rPr/>
              <w:t xml:space="preserve">Name of Issuer: </w:t>
            </w:r>
          </w:p>
          <w:p>
            <w:pPr>
              <w:pStyle w:val="TableContents"/>
              <w:bidi w:val="0"/>
              <w:spacing w:before="0" w:after="0"/>
              <w:jc w:val="left"/>
              <w:rPr/>
            </w:pPr>
            <w:r>
              <w:rPr/>
              <w:t>MAXCYTE, INC.</w:t>
            </w:r>
          </w:p>
        </w:tc>
      </w:tr>
      <w:tr>
        <w:trPr/>
        <w:tc>
          <w:tcPr>
            <w:tcW w:w="1145"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9713 KEY WEST AVENUE,, SUITE 400, ROCKVILLE, MARYLAND , 20850.</w:t>
            </w:r>
          </w:p>
        </w:tc>
      </w:tr>
      <w:tr>
        <w:trPr/>
        <w:tc>
          <w:tcPr>
            <w:tcW w:w="1145" w:type="dxa"/>
            <w:tcBorders/>
            <w:vAlign w:val="center"/>
          </w:tcPr>
          <w:p>
            <w:pPr>
              <w:pStyle w:val="TableContents"/>
              <w:bidi w:val="0"/>
              <w:spacing w:before="0" w:after="283"/>
              <w:jc w:val="left"/>
              <w:rPr/>
            </w:pPr>
            <w:r>
              <w:rPr/>
              <w:t>Item 2.</w:t>
            </w:r>
          </w:p>
        </w:tc>
        <w:tc>
          <w:tcPr>
            <w:tcW w:w="9060" w:type="dxa"/>
            <w:tcBorders/>
            <w:vAlign w:val="center"/>
          </w:tcPr>
          <w:p>
            <w:pPr>
              <w:pStyle w:val="TableContents"/>
              <w:bidi w:val="0"/>
              <w:spacing w:before="0" w:after="283"/>
              <w:jc w:val="left"/>
              <w:rPr/>
            </w:pPr>
            <w:r>
              <w:rPr/>
              <w:t>Identity and Background</w:t>
            </w:r>
          </w:p>
        </w:tc>
      </w:tr>
      <w:tr>
        <w:trPr/>
        <w:tc>
          <w:tcPr>
            <w:tcW w:w="1145"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0"/>
              <w:jc w:val="left"/>
              <w:rPr/>
            </w:pPr>
            <w:r>
              <w:rPr/>
              <w:t>River Global Investors LLP</w:t>
            </w:r>
          </w:p>
        </w:tc>
      </w:tr>
      <w:tr>
        <w:trPr/>
        <w:tc>
          <w:tcPr>
            <w:tcW w:w="1145"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0"/>
              <w:jc w:val="left"/>
              <w:rPr/>
            </w:pPr>
            <w:r>
              <w:rPr/>
              <w:t>30 Coleman Street, London, EC2R 5AL, United Kingdom</w:t>
            </w:r>
          </w:p>
        </w:tc>
      </w:tr>
      <w:tr>
        <w:trPr/>
        <w:tc>
          <w:tcPr>
            <w:tcW w:w="1145"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0"/>
              <w:jc w:val="left"/>
              <w:rPr/>
            </w:pPr>
            <w:r>
              <w:rPr/>
              <w:t>Investment Firm 30 Coleman Street, London, EC2R 5AL, United Kingdom</w:t>
            </w:r>
          </w:p>
        </w:tc>
      </w:tr>
      <w:tr>
        <w:trPr/>
        <w:tc>
          <w:tcPr>
            <w:tcW w:w="1145"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0"/>
              <w:jc w:val="left"/>
              <w:rPr/>
            </w:pPr>
            <w:r>
              <w:rPr/>
              <w:t>No</w:t>
            </w:r>
          </w:p>
        </w:tc>
      </w:tr>
      <w:tr>
        <w:trPr/>
        <w:tc>
          <w:tcPr>
            <w:tcW w:w="1145"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0"/>
              <w:jc w:val="left"/>
              <w:rPr/>
            </w:pPr>
            <w:r>
              <w:rPr/>
              <w:t>No</w:t>
            </w:r>
          </w:p>
        </w:tc>
      </w:tr>
      <w:tr>
        <w:trPr/>
        <w:tc>
          <w:tcPr>
            <w:tcW w:w="1145" w:type="dxa"/>
            <w:tcBorders/>
            <w:vAlign w:val="center"/>
          </w:tcPr>
          <w:p>
            <w:pPr>
              <w:pStyle w:val="TableContents"/>
              <w:bidi w:val="0"/>
              <w:spacing w:before="0" w:after="283"/>
              <w:jc w:val="left"/>
              <w:rPr/>
            </w:pPr>
            <w:r>
              <w:rPr/>
              <w:t>(f)</w:t>
            </w:r>
          </w:p>
        </w:tc>
        <w:tc>
          <w:tcPr>
            <w:tcW w:w="9060" w:type="dxa"/>
            <w:tcBorders/>
            <w:vAlign w:val="center"/>
          </w:tcPr>
          <w:p>
            <w:pPr>
              <w:pStyle w:val="TableContents"/>
              <w:bidi w:val="0"/>
              <w:spacing w:before="0" w:after="0"/>
              <w:jc w:val="left"/>
              <w:rPr/>
            </w:pPr>
            <w:r>
              <w:rPr/>
              <w:t>United Kingdom</w:t>
            </w:r>
          </w:p>
        </w:tc>
      </w:tr>
      <w:tr>
        <w:trPr/>
        <w:tc>
          <w:tcPr>
            <w:tcW w:w="1145" w:type="dxa"/>
            <w:tcBorders/>
            <w:vAlign w:val="center"/>
          </w:tcPr>
          <w:p>
            <w:pPr>
              <w:pStyle w:val="TableContents"/>
              <w:bidi w:val="0"/>
              <w:spacing w:before="0" w:after="283"/>
              <w:jc w:val="left"/>
              <w:rPr/>
            </w:pPr>
            <w:r>
              <w:rPr/>
              <w:t>Item 3.</w:t>
            </w:r>
          </w:p>
        </w:tc>
        <w:tc>
          <w:tcPr>
            <w:tcW w:w="9060" w:type="dxa"/>
            <w:tcBorders/>
            <w:vAlign w:val="center"/>
          </w:tcPr>
          <w:p>
            <w:pPr>
              <w:pStyle w:val="TableContents"/>
              <w:bidi w:val="0"/>
              <w:spacing w:before="0" w:after="283"/>
              <w:jc w:val="left"/>
              <w:rPr/>
            </w:pPr>
            <w:r>
              <w:rPr/>
              <w:t>Source and Amount of Funds or Other Consideration</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N/A</w:t>
            </w:r>
          </w:p>
        </w:tc>
      </w:tr>
      <w:tr>
        <w:trPr/>
        <w:tc>
          <w:tcPr>
            <w:tcW w:w="1145" w:type="dxa"/>
            <w:tcBorders/>
            <w:vAlign w:val="center"/>
          </w:tcPr>
          <w:p>
            <w:pPr>
              <w:pStyle w:val="TableContents"/>
              <w:bidi w:val="0"/>
              <w:spacing w:before="0" w:after="283"/>
              <w:jc w:val="left"/>
              <w:rPr/>
            </w:pPr>
            <w:r>
              <w:rPr/>
              <w:t>Item 4.</w:t>
            </w:r>
          </w:p>
        </w:tc>
        <w:tc>
          <w:tcPr>
            <w:tcW w:w="9060" w:type="dxa"/>
            <w:tcBorders/>
            <w:vAlign w:val="center"/>
          </w:tcPr>
          <w:p>
            <w:pPr>
              <w:pStyle w:val="TableContents"/>
              <w:bidi w:val="0"/>
              <w:spacing w:before="0" w:after="283"/>
              <w:jc w:val="left"/>
              <w:rPr/>
            </w:pPr>
            <w:r>
              <w:rPr/>
              <w:t>Purpose of Transaction</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(b) An extraordinary corporate transaction, such as a merger, reorganization or liquidation, involving the issuer or any of its subsidiaries. As per the Announcement on 24 June 2026 (RNS Number: 4421J), the FCA has approved the change in control and proposed acquisition of River Global Holdings Limited. Subsequently, as of close of business on 31 July 2026, Liontrust Investment Partners (LIP) LLP assumed responsibility for the River Global Investors (RGI) LLP ICVC and ICAV funds. The relevant voting rights (approx 4.3%) attached to those holdings have therefore transferred from RGI LLP to LIP LLP. The remaining voting rights (approx 0.8%) continue to be held by RGI LLP and will be transferred at a later stage.</w:t>
            </w:r>
          </w:p>
        </w:tc>
      </w:tr>
      <w:tr>
        <w:trPr/>
        <w:tc>
          <w:tcPr>
            <w:tcW w:w="1145" w:type="dxa"/>
            <w:tcBorders/>
            <w:vAlign w:val="center"/>
          </w:tcPr>
          <w:p>
            <w:pPr>
              <w:pStyle w:val="TableContents"/>
              <w:bidi w:val="0"/>
              <w:spacing w:before="0" w:after="283"/>
              <w:jc w:val="left"/>
              <w:rPr/>
            </w:pPr>
            <w:r>
              <w:rPr/>
              <w:t>Item 5.</w:t>
            </w:r>
          </w:p>
        </w:tc>
        <w:tc>
          <w:tcPr>
            <w:tcW w:w="9060" w:type="dxa"/>
            <w:tcBorders/>
            <w:vAlign w:val="center"/>
          </w:tcPr>
          <w:p>
            <w:pPr>
              <w:pStyle w:val="TableContents"/>
              <w:bidi w:val="0"/>
              <w:spacing w:before="0" w:after="283"/>
              <w:jc w:val="left"/>
              <w:rPr/>
            </w:pPr>
            <w:r>
              <w:rPr/>
              <w:t>Interest in Securities of the Issuer</w:t>
            </w:r>
          </w:p>
        </w:tc>
      </w:tr>
      <w:tr>
        <w:trPr/>
        <w:tc>
          <w:tcPr>
            <w:tcW w:w="1145" w:type="dxa"/>
            <w:tcBorders/>
            <w:vAlign w:val="center"/>
          </w:tcPr>
          <w:p>
            <w:pPr>
              <w:pStyle w:val="TableContents"/>
              <w:bidi w:val="0"/>
              <w:spacing w:before="0" w:after="283"/>
              <w:jc w:val="left"/>
              <w:rPr/>
            </w:pPr>
            <w:r>
              <w:rPr/>
              <w:t>(a)</w:t>
            </w:r>
          </w:p>
        </w:tc>
        <w:tc>
          <w:tcPr>
            <w:tcW w:w="9060" w:type="dxa"/>
            <w:tcBorders/>
            <w:vAlign w:val="center"/>
          </w:tcPr>
          <w:p>
            <w:pPr>
              <w:pStyle w:val="TableContents"/>
              <w:bidi w:val="0"/>
              <w:spacing w:before="0" w:after="0"/>
              <w:jc w:val="left"/>
              <w:rPr/>
            </w:pPr>
            <w:r>
              <w:rPr/>
              <w:t>834,100.00 0.7786%</w:t>
            </w:r>
          </w:p>
        </w:tc>
      </w:tr>
      <w:tr>
        <w:trPr/>
        <w:tc>
          <w:tcPr>
            <w:tcW w:w="1145" w:type="dxa"/>
            <w:tcBorders/>
            <w:vAlign w:val="center"/>
          </w:tcPr>
          <w:p>
            <w:pPr>
              <w:pStyle w:val="TableContents"/>
              <w:bidi w:val="0"/>
              <w:spacing w:before="0" w:after="283"/>
              <w:jc w:val="left"/>
              <w:rPr/>
            </w:pPr>
            <w:r>
              <w:rPr/>
              <w:t>(b)</w:t>
            </w:r>
          </w:p>
        </w:tc>
        <w:tc>
          <w:tcPr>
            <w:tcW w:w="9060" w:type="dxa"/>
            <w:tcBorders/>
            <w:vAlign w:val="center"/>
          </w:tcPr>
          <w:p>
            <w:pPr>
              <w:pStyle w:val="TableContents"/>
              <w:bidi w:val="0"/>
              <w:spacing w:before="0" w:after="0"/>
              <w:jc w:val="left"/>
              <w:rPr/>
            </w:pPr>
            <w:r>
              <w:rPr/>
              <w:t>834,100.00 shares</w:t>
            </w:r>
          </w:p>
        </w:tc>
      </w:tr>
      <w:tr>
        <w:trPr/>
        <w:tc>
          <w:tcPr>
            <w:tcW w:w="1145" w:type="dxa"/>
            <w:tcBorders/>
            <w:vAlign w:val="center"/>
          </w:tcPr>
          <w:p>
            <w:pPr>
              <w:pStyle w:val="TableContents"/>
              <w:bidi w:val="0"/>
              <w:spacing w:before="0" w:after="283"/>
              <w:jc w:val="left"/>
              <w:rPr/>
            </w:pPr>
            <w:r>
              <w:rPr/>
              <w:t>(c)</w:t>
            </w:r>
          </w:p>
        </w:tc>
        <w:tc>
          <w:tcPr>
            <w:tcW w:w="9060" w:type="dxa"/>
            <w:tcBorders/>
            <w:vAlign w:val="center"/>
          </w:tcPr>
          <w:p>
            <w:pPr>
              <w:pStyle w:val="TableContents"/>
              <w:bidi w:val="0"/>
              <w:spacing w:before="0" w:after="0"/>
              <w:jc w:val="left"/>
              <w:rPr/>
            </w:pPr>
            <w:r>
              <w:rPr/>
              <w:t xml:space="preserve">As of Date B/S Amount Price 05/20/2026 BUY 14000 1.0443 06/16/2026 SELL 22320 1.13 07/23/2026 SELL 100000 1.1022 07/24/2026 SELL 100000 1.0873 07/27/2026 BUY 19780 1.0738 07/27/2026 SELL 275200 1.0397 07/28/2026 SELL 85400 0.9879 07/28/2026 SELL 239400 0.9978 07/29/2026 SELL 5547 1.015 07/29/2026 SELL 269453 1.0201 </w:t>
            </w:r>
          </w:p>
        </w:tc>
      </w:tr>
      <w:tr>
        <w:trPr/>
        <w:tc>
          <w:tcPr>
            <w:tcW w:w="1145" w:type="dxa"/>
            <w:tcBorders/>
            <w:vAlign w:val="center"/>
          </w:tcPr>
          <w:p>
            <w:pPr>
              <w:pStyle w:val="TableContents"/>
              <w:bidi w:val="0"/>
              <w:spacing w:before="0" w:after="283"/>
              <w:jc w:val="left"/>
              <w:rPr/>
            </w:pPr>
            <w:r>
              <w:rPr/>
              <w:t>(d)</w:t>
            </w:r>
          </w:p>
        </w:tc>
        <w:tc>
          <w:tcPr>
            <w:tcW w:w="9060" w:type="dxa"/>
            <w:tcBorders/>
            <w:vAlign w:val="center"/>
          </w:tcPr>
          <w:p>
            <w:pPr>
              <w:pStyle w:val="TableContents"/>
              <w:bidi w:val="0"/>
              <w:spacing w:before="0" w:after="0"/>
              <w:jc w:val="left"/>
              <w:rPr/>
            </w:pPr>
            <w:r>
              <w:rPr/>
              <w:t>N/A</w:t>
            </w:r>
          </w:p>
        </w:tc>
      </w:tr>
      <w:tr>
        <w:trPr/>
        <w:tc>
          <w:tcPr>
            <w:tcW w:w="1145" w:type="dxa"/>
            <w:tcBorders/>
            <w:vAlign w:val="center"/>
          </w:tcPr>
          <w:p>
            <w:pPr>
              <w:pStyle w:val="TableContents"/>
              <w:bidi w:val="0"/>
              <w:spacing w:before="0" w:after="283"/>
              <w:jc w:val="left"/>
              <w:rPr/>
            </w:pPr>
            <w:r>
              <w:rPr/>
              <w:t>(e)</w:t>
            </w:r>
          </w:p>
        </w:tc>
        <w:tc>
          <w:tcPr>
            <w:tcW w:w="9060" w:type="dxa"/>
            <w:tcBorders/>
            <w:vAlign w:val="center"/>
          </w:tcPr>
          <w:p>
            <w:pPr>
              <w:pStyle w:val="TableContents"/>
              <w:bidi w:val="0"/>
              <w:spacing w:before="0" w:after="0"/>
              <w:jc w:val="left"/>
              <w:rPr/>
            </w:pPr>
            <w:r>
              <w:rPr/>
              <w:t>07/31/2026</w:t>
            </w:r>
          </w:p>
        </w:tc>
      </w:tr>
      <w:tr>
        <w:trPr/>
        <w:tc>
          <w:tcPr>
            <w:tcW w:w="1145" w:type="dxa"/>
            <w:tcBorders/>
            <w:vAlign w:val="center"/>
          </w:tcPr>
          <w:p>
            <w:pPr>
              <w:pStyle w:val="TableContents"/>
              <w:bidi w:val="0"/>
              <w:spacing w:before="0" w:after="283"/>
              <w:jc w:val="left"/>
              <w:rPr/>
            </w:pPr>
            <w:r>
              <w:rPr/>
              <w:t>Item 6.</w:t>
            </w:r>
          </w:p>
        </w:tc>
        <w:tc>
          <w:tcPr>
            <w:tcW w:w="9060"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N/A</w:t>
            </w:r>
          </w:p>
        </w:tc>
      </w:tr>
      <w:tr>
        <w:trPr/>
        <w:tc>
          <w:tcPr>
            <w:tcW w:w="1145" w:type="dxa"/>
            <w:tcBorders/>
            <w:vAlign w:val="center"/>
          </w:tcPr>
          <w:p>
            <w:pPr>
              <w:pStyle w:val="TableContents"/>
              <w:bidi w:val="0"/>
              <w:spacing w:before="0" w:after="283"/>
              <w:jc w:val="left"/>
              <w:rPr/>
            </w:pPr>
            <w:r>
              <w:rPr/>
              <w:t>Item 7.</w:t>
            </w:r>
          </w:p>
        </w:tc>
        <w:tc>
          <w:tcPr>
            <w:tcW w:w="9060" w:type="dxa"/>
            <w:tcBorders/>
            <w:vAlign w:val="center"/>
          </w:tcPr>
          <w:p>
            <w:pPr>
              <w:pStyle w:val="TableContents"/>
              <w:bidi w:val="0"/>
              <w:spacing w:before="0" w:after="283"/>
              <w:jc w:val="left"/>
              <w:rPr/>
            </w:pPr>
            <w:r>
              <w:rPr/>
              <w:t>Material to be Filed as Exhibits.</w:t>
            </w:r>
          </w:p>
        </w:tc>
      </w:tr>
      <w:tr>
        <w:trPr/>
        <w:tc>
          <w:tcPr>
            <w:tcW w:w="1145" w:type="dxa"/>
            <w:tcBorders/>
            <w:vAlign w:val="center"/>
          </w:tcPr>
          <w:p>
            <w:pPr>
              <w:pStyle w:val="TableContents"/>
              <w:bidi w:val="0"/>
              <w:spacing w:before="0" w:after="283"/>
              <w:jc w:val="left"/>
              <w:rPr/>
            </w:pPr>
            <w:r>
              <w:rPr/>
              <w:t> </w:t>
            </w:r>
          </w:p>
        </w:tc>
        <w:tc>
          <w:tcPr>
            <w:tcW w:w="9060" w:type="dxa"/>
            <w:tcBorders/>
            <w:vAlign w:val="center"/>
          </w:tcPr>
          <w:p>
            <w:pPr>
              <w:pStyle w:val="TableContents"/>
              <w:bidi w:val="0"/>
              <w:spacing w:before="0" w:after="0"/>
              <w:jc w:val="left"/>
              <w:rPr/>
            </w:pPr>
            <w:r>
              <w:rPr/>
              <w:t>N/A</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090" w:type="dxa"/>
        <w:jc w:val="left"/>
        <w:tblInd w:w="0" w:type="dxa"/>
        <w:tblLayout w:type="fixed"/>
        <w:tblCellMar>
          <w:top w:w="28" w:type="dxa"/>
          <w:left w:w="28" w:type="dxa"/>
          <w:bottom w:w="28" w:type="dxa"/>
          <w:right w:w="28" w:type="dxa"/>
        </w:tblCellMar>
      </w:tblPr>
      <w:tblGrid>
        <w:gridCol w:w="4045"/>
        <w:gridCol w:w="4045"/>
      </w:tblGrid>
      <w:tr>
        <w:trPr/>
        <w:tc>
          <w:tcPr>
            <w:tcW w:w="4045" w:type="dxa"/>
            <w:tcBorders/>
            <w:vAlign w:val="center"/>
          </w:tcPr>
          <w:p>
            <w:pPr>
              <w:pStyle w:val="TableContents"/>
              <w:bidi w:val="0"/>
              <w:spacing w:before="0" w:after="0"/>
              <w:jc w:val="left"/>
              <w:rPr/>
            </w:pPr>
            <w:r>
              <w:rPr/>
              <w:t> </w:t>
            </w:r>
          </w:p>
          <w:tbl>
            <w:tblPr>
              <w:tblW w:w="3871" w:type="dxa"/>
              <w:jc w:val="left"/>
              <w:tblInd w:w="0" w:type="dxa"/>
              <w:tblLayout w:type="fixed"/>
              <w:tblCellMar>
                <w:top w:w="28" w:type="dxa"/>
                <w:left w:w="28" w:type="dxa"/>
                <w:bottom w:w="28" w:type="dxa"/>
                <w:right w:w="28" w:type="dxa"/>
              </w:tblCellMar>
            </w:tblPr>
            <w:tblGrid>
              <w:gridCol w:w="3871"/>
            </w:tblGrid>
            <w:tr>
              <w:trPr/>
              <w:tc>
                <w:tcPr>
                  <w:tcW w:w="3871" w:type="dxa"/>
                  <w:tcBorders/>
                  <w:vAlign w:val="center"/>
                </w:tcPr>
                <w:p>
                  <w:pPr>
                    <w:pStyle w:val="TableContents"/>
                    <w:bidi w:val="0"/>
                    <w:spacing w:before="0" w:after="0"/>
                    <w:jc w:val="left"/>
                    <w:rPr/>
                  </w:pPr>
                  <w:r>
                    <w:rPr/>
                    <w:t>RIVER GLOBAL INVESTORS LLP</w:t>
                  </w:r>
                </w:p>
              </w:tc>
            </w:tr>
          </w:tbl>
          <w:p>
            <w:pPr>
              <w:pStyle w:val="TableContents"/>
              <w:bidi w:val="0"/>
              <w:spacing w:before="0" w:after="283"/>
              <w:jc w:val="left"/>
              <w:rPr/>
            </w:pPr>
            <w:r>
              <w:rPr/>
            </w:r>
          </w:p>
        </w:tc>
        <w:tc>
          <w:tcPr>
            <w:tcW w:w="40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9"/>
        <w:gridCol w:w="4296"/>
      </w:tblGrid>
      <w:tr>
        <w:trPr/>
        <w:tc>
          <w:tcPr>
            <w:tcW w:w="590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Nusayhah Ghaboos</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Regulatory Oversight Manager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9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634</Words>
  <Characters>3340</Characters>
  <CharactersWithSpaces>3910</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