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MAXCYTE,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Mirabella Financial Services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MAXCYTE,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9713 KEY WEST AVENUE,, SUITE 400, ROCKVILLE, MD, 20850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Mirabella Financial Services LLP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 Strand, London, WC2N 5HR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480"/>
        <w:spacing w:after="0" w:line="244" w:lineRule="auto"/>
        <w:rPr>
          <w:sz w:val="20"/>
          <w:szCs w:val="20"/>
          <w:color w:val="auto"/>
        </w:rPr>
      </w:pPr>
      <w:r>
        <w:rPr>
          <w:rFonts w:ascii="Times New Roman" w:cs="Times New Roman" w:eastAsia="Times New Roman" w:hAnsi="Times New Roman"/>
          <w:sz w:val="22"/>
          <w:szCs w:val="22"/>
          <w:color w:val="auto"/>
        </w:rPr>
        <w:t>This notification is to advise that since 5th January 2026, Mirabella Financial Services LLP no longer acts as the Investment Manager for Blue Riband Fund LP. Therefore, Mirabella no longer has discretion for the exercise of voting and dispositive power over the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Mirabella Financial Services LLP</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 Somal</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Raj Somal | Partner Delivery Team Mirabella</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2026-04-10T09:18:40Z</dcterms:created>
  <dcterms:modified xsi:type="dcterms:W3CDTF">2026-04-10T09:18:40Z</dcterms:modified>
</cp:coreProperties>
</file>