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1620x1_def14a_100-regcov_pg1"/>
        <w:bookmarkStart w:id="1" w:name="ny20071620x1_def14a.htm"/>
        <w:bookmarkStart w:id="2" w:name="ksny20071620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0"/>
              <w:jc w:val="left"/>
              <w:rPr>
                <w:color w:val="000000"/>
              </w:rPr>
            </w:pPr>
            <w:r>
              <w:rPr>
                <w:color w:val="000000"/>
              </w:rPr>
              <w:t> ☐</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tbl>
      <w:tblPr>
        <w:tblW w:w="5870" w:type="dxa"/>
        <w:jc w:val="left"/>
        <w:tblInd w:w="0" w:type="dxa"/>
        <w:tblLayout w:type="fixed"/>
        <w:tblCellMar>
          <w:top w:w="0" w:type="dxa"/>
          <w:left w:w="0" w:type="dxa"/>
          <w:bottom w:w="0" w:type="dxa"/>
          <w:right w:w="0" w:type="dxa"/>
        </w:tblCellMar>
      </w:tblPr>
      <w:tblGrid>
        <w:gridCol w:w="5870"/>
      </w:tblGrid>
      <w:tr>
        <w:trPr/>
        <w:tc>
          <w:tcPr>
            <w:tcW w:w="5870"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MaxCyte, Inc.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5870" w:type="dxa"/>
            <w:tcBorders/>
            <w:vAlign w:val="center"/>
          </w:tcPr>
          <w:p>
            <w:pPr>
              <w:pStyle w:val="TableContents"/>
              <w:bidi w:val="0"/>
              <w:spacing w:before="0" w:after="0"/>
              <w:jc w:val="left"/>
              <w:rPr>
                <w:color w:val="000000"/>
              </w:rPr>
            </w:pPr>
            <w:r>
              <w:rPr>
                <w:color w:val="000000"/>
              </w:rPr>
              <w:t> </w:t>
            </w:r>
          </w:p>
        </w:tc>
      </w:tr>
      <w:tr>
        <w:trPr/>
        <w:tc>
          <w:tcPr>
            <w:tcW w:w="58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587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1620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215" w:after="283"/>
        <w:ind w:left="0" w:right="0" w:hanging="0"/>
        <w:jc w:val="center"/>
        <w:rPr>
          <w:rFonts w:ascii="Times New Roman;Times;serif" w:hAnsi="Times New Roman;Times;serif"/>
          <w:b/>
          <w:color w:val="000000"/>
          <w:sz w:val="32"/>
        </w:rPr>
      </w:pPr>
      <w:r>
        <w:rPr>
          <w:rFonts w:ascii="Times New Roman;Times;serif" w:hAnsi="Times New Roman;Times;serif"/>
          <w:b/>
          <w:color w:val="000000"/>
          <w:sz w:val="32"/>
        </w:rPr>
        <w:t xml:space="preserve">MAXCYTE,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9713 Key West Avenue,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Rockville, Maryland 20850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17,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the 2026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xml:space="preserve">”) of </w:t>
      </w:r>
      <w:r>
        <w:rPr>
          <w:rFonts w:ascii="Times New Roman;Times;serif" w:hAnsi="Times New Roman;Times;serif"/>
          <w:b/>
          <w:color w:val="000000"/>
          <w:sz w:val="20"/>
        </w:rPr>
        <w:t>MAXCYTE, INC.</w:t>
      </w:r>
      <w:r>
        <w:rPr>
          <w:rFonts w:ascii="Times New Roman;Times;serif" w:hAnsi="Times New Roman;Times;serif"/>
          <w:color w:val="000000"/>
          <w:sz w:val="20"/>
        </w:rPr>
        <w:t>,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w:t>
      </w:r>
      <w:r>
        <w:rPr>
          <w:rFonts w:ascii="Times New Roman;Times;serif" w:hAnsi="Times New Roman;Times;serif"/>
          <w:b/>
          <w:i/>
          <w:color w:val="000000"/>
          <w:sz w:val="20"/>
        </w:rPr>
        <w:t>we</w:t>
      </w:r>
      <w:r>
        <w:rPr>
          <w:rFonts w:ascii="Times New Roman;Times;serif" w:hAnsi="Times New Roman;Times;serif"/>
          <w:color w:val="000000"/>
          <w:sz w:val="20"/>
        </w:rPr>
        <w:t>,” “</w:t>
      </w:r>
      <w:r>
        <w:rPr>
          <w:rFonts w:ascii="Times New Roman;Times;serif" w:hAnsi="Times New Roman;Times;serif"/>
          <w:b/>
          <w:i/>
          <w:color w:val="000000"/>
          <w:sz w:val="20"/>
        </w:rPr>
        <w:t>us</w:t>
      </w:r>
      <w:r>
        <w:rPr>
          <w:rFonts w:ascii="Times New Roman;Times;serif" w:hAnsi="Times New Roman;Times;serif"/>
          <w:color w:val="000000"/>
          <w:sz w:val="20"/>
        </w:rPr>
        <w:t>,” or “</w:t>
      </w:r>
      <w:r>
        <w:rPr>
          <w:rFonts w:ascii="Times New Roman;Times;serif" w:hAnsi="Times New Roman;Times;serif"/>
          <w:b/>
          <w:i/>
          <w:color w:val="000000"/>
          <w:sz w:val="20"/>
        </w:rPr>
        <w:t>our</w:t>
      </w:r>
      <w:r>
        <w:rPr>
          <w:rFonts w:ascii="Times New Roman;Times;serif" w:hAnsi="Times New Roman;Times;serif"/>
          <w:color w:val="000000"/>
          <w:sz w:val="20"/>
        </w:rPr>
        <w:t xml:space="preserve">,” as the context requires). The Annual Meeting will be held on Wednesday, June 17, 2026 at 11:00 a.m. Eastern Time at the Company’s principal executive offices at 9713 Key West Avenue, Suite 400, Rockville, Maryland 20850. The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the Board’s three nominees as identified in the accompanying Proxy Statement as Class II directors: Patrick Balthrop, Cynthia Collins and Stanley Erck.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Audit Committee’s selection of CohnReznick LLP as the independent registered public accounting firm of the Company for its fiscal year ending December 31, 2026. </w:t>
            </w:r>
          </w:p>
        </w:tc>
      </w:tr>
    </w:tbl>
    <w:tbl>
      <w:tblPr>
        <w:tblW w:w="6505" w:type="dxa"/>
        <w:jc w:val="left"/>
        <w:tblInd w:w="0" w:type="dxa"/>
        <w:tblLayout w:type="fixed"/>
        <w:tblCellMar>
          <w:top w:w="0" w:type="dxa"/>
          <w:left w:w="0" w:type="dxa"/>
          <w:bottom w:w="0" w:type="dxa"/>
          <w:right w:w="0" w:type="dxa"/>
        </w:tblCellMar>
      </w:tblPr>
      <w:tblGrid>
        <w:gridCol w:w="200"/>
        <w:gridCol w:w="63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conduct any other business properly brought before the Annual Meeting.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Annual Meeting is April 21, 2026. Only stockholders of record at the close of business on that date may vote at the Annual Meeting or any adjournment thereof. </w:t>
      </w:r>
    </w:p>
    <w:p>
      <w:pPr>
        <w:pStyle w:val="TextBody"/>
        <w:bidi w:val="0"/>
        <w:spacing w:before="9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Important Notice Regarding the Availability of Proxy Materials for the Stockholders’ Meeting to Be Held on Wednesday, June 17, 2026 at 9713 Key West Avenue, Suite 400, Rockville, Maryland 20850:</w:t>
      </w:r>
    </w:p>
    <w:p>
      <w:pPr>
        <w:pStyle w:val="TextBody"/>
        <w:bidi w:val="0"/>
        <w:spacing w:before="0" w:after="283"/>
        <w:jc w:val="center"/>
        <w:rPr>
          <w:color w:val="000000"/>
          <w:bdr w:val="single" w:sz="8" w:space="6" w:color="000000"/>
        </w:rPr>
      </w:pPr>
      <w:r>
        <w:rPr>
          <w:color w:val="000000"/>
          <w:bdr w:val="single" w:sz="8" w:space="6" w:color="000000"/>
        </w:rPr>
        <w:t xml:space="preserve">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The proxy statement and annual report to stockholders are available at www.proxyvote.com.</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drawing>
          <wp:inline distT="0" distB="0" distL="0" distR="0">
            <wp:extent cx="18954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Maher Masoud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Rockville,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29, 2026</w:t>
      </w:r>
    </w:p>
    <w:p>
      <w:pPr>
        <w:pStyle w:val="TextBody"/>
        <w:bidi w:val="0"/>
        <w:spacing w:before="90" w:after="283"/>
        <w:ind w:left="10" w:right="0" w:hanging="0"/>
        <w:jc w:val="both"/>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You are cordially invited to attend the Annual Meeting in person. Whether or not you expect to attend the Annual Meeting, please vote as promptly as possible in order to ensure your representation at the Annual Meeting. If you received a proxy card, a return envelope (which is postage prepaid if mailed in the United States) has been provided for your convenience. Otherwise, please follow the instructions to vote described on your Notice of Internet Availability of Proxy Materials and also as described in the proxy statement. Even if you have voted by proxy, you may still vote in person if you attend the Annual Meeting. Please note, however, that if your shares are held of record by a broker, bank or other nominee and you wish to vote at the Annual Meeting, you must obtain a proxy issued in your name from that record holder.</w:t>
      </w:r>
    </w:p>
    <w:p>
      <w:pPr>
        <w:pStyle w:val="HorizontalLine"/>
        <w:bidi w:val="0"/>
        <w:spacing w:before="200" w:after="200"/>
        <w:jc w:val="left"/>
        <w:rPr/>
      </w:pPr>
      <w:r>
        <w:rPr/>
      </w:r>
    </w:p>
    <w:p>
      <w:pPr>
        <w:pStyle w:val="TextBody"/>
        <w:bidi w:val="0"/>
        <w:jc w:val="left"/>
        <w:rPr/>
      </w:pPr>
      <w:hyperlink w:anchor="TOC">
        <w:bookmarkStart w:id="4" w:name="ny20071620x1_def14a_102-proxy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215" w:after="283"/>
        <w:ind w:left="0" w:right="0" w:hanging="0"/>
        <w:jc w:val="center"/>
        <w:rPr>
          <w:rFonts w:ascii="Times New Roman;Times;serif" w:hAnsi="Times New Roman;Times;serif"/>
          <w:b/>
          <w:color w:val="000000"/>
          <w:sz w:val="32"/>
        </w:rPr>
      </w:pPr>
      <w:r>
        <w:rPr>
          <w:rFonts w:ascii="Times New Roman;Times;serif" w:hAnsi="Times New Roman;Times;serif"/>
          <w:b/>
          <w:color w:val="000000"/>
          <w:sz w:val="32"/>
        </w:rPr>
        <w:t>MAXCYTE,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9713 Key West Avenue,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Rockville, Maryland 20850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17, 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bookmarkStart w:id="5" w:name="tPS"/>
      <w:bookmarkEnd w:id="5"/>
      <w:r>
        <w:rPr>
          <w:rFonts w:ascii="Times New Roman;Times;serif" w:hAnsi="Times New Roman;Times;serif"/>
          <w:b/>
          <w:color w:val="000000"/>
          <w:sz w:val="20"/>
        </w:rPr>
        <w:t xml:space="preserve">PROXY 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this Proxy Statement, we refer to MaxCyte, Inc. as the “</w:t>
      </w:r>
      <w:r>
        <w:rPr>
          <w:rFonts w:ascii="Times New Roman;Times;serif" w:hAnsi="Times New Roman;Times;serif"/>
          <w:b/>
          <w:i/>
          <w:color w:val="000000"/>
          <w:sz w:val="20"/>
        </w:rPr>
        <w:t>Company</w:t>
      </w:r>
      <w:r>
        <w:rPr>
          <w:rFonts w:ascii="Times New Roman;Times;serif" w:hAnsi="Times New Roman;Times;serif"/>
          <w:color w:val="000000"/>
          <w:sz w:val="20"/>
        </w:rPr>
        <w:t>,” “</w:t>
      </w:r>
      <w:r>
        <w:rPr>
          <w:rFonts w:ascii="Times New Roman;Times;serif" w:hAnsi="Times New Roman;Times;serif"/>
          <w:b/>
          <w:i/>
          <w:color w:val="000000"/>
          <w:sz w:val="20"/>
        </w:rPr>
        <w:t>MaxCyte</w:t>
      </w:r>
      <w:r>
        <w:rPr>
          <w:rFonts w:ascii="Times New Roman;Times;serif" w:hAnsi="Times New Roman;Times;serif"/>
          <w:color w:val="000000"/>
          <w:sz w:val="20"/>
        </w:rPr>
        <w:t>,” “</w:t>
      </w:r>
      <w:r>
        <w:rPr>
          <w:rFonts w:ascii="Times New Roman;Times;serif" w:hAnsi="Times New Roman;Times;serif"/>
          <w:b/>
          <w:i/>
          <w:color w:val="000000"/>
          <w:sz w:val="20"/>
        </w:rPr>
        <w:t>we</w:t>
      </w:r>
      <w:r>
        <w:rPr>
          <w:rFonts w:ascii="Times New Roman;Times;serif" w:hAnsi="Times New Roman;Times;serif"/>
          <w:color w:val="000000"/>
          <w:sz w:val="20"/>
        </w:rPr>
        <w:t>,” or “</w:t>
      </w:r>
      <w:r>
        <w:rPr>
          <w:rFonts w:ascii="Times New Roman;Times;serif" w:hAnsi="Times New Roman;Times;serif"/>
          <w:b/>
          <w:i/>
          <w:color w:val="000000"/>
          <w:sz w:val="20"/>
        </w:rPr>
        <w:t>us</w:t>
      </w:r>
      <w:r>
        <w:rPr>
          <w:rFonts w:ascii="Times New Roman;Times;serif" w:hAnsi="Times New Roman;Times;serif"/>
          <w:color w:val="000000"/>
          <w:sz w:val="20"/>
        </w:rPr>
        <w:t>” and the Board of Directors as our “</w:t>
      </w:r>
      <w:r>
        <w:rPr>
          <w:rFonts w:ascii="Times New Roman;Times;serif" w:hAnsi="Times New Roman;Times;serif"/>
          <w:b/>
          <w:i/>
          <w:color w:val="000000"/>
          <w:sz w:val="20"/>
        </w:rPr>
        <w:t>Board</w:t>
      </w:r>
      <w:r>
        <w:rPr>
          <w:rFonts w:ascii="Times New Roman;Times;serif" w:hAnsi="Times New Roman;Times;serif"/>
          <w:color w:val="000000"/>
          <w:sz w:val="20"/>
        </w:rPr>
        <w:t>.” This Proxy Summary highlights information contained elsewhere in this Proxy Statement in connection with the Company’s 2026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xml:space="preserve">”). This Proxy Summary does not contain all of the information you should consider and you should read the entire Proxy Statement before voting. </w:t>
      </w:r>
    </w:p>
    <w:p>
      <w:pPr>
        <w:pStyle w:val="TextBody"/>
        <w:bidi w:val="0"/>
        <w:spacing w:before="410" w:after="283"/>
        <w:jc w:val="center"/>
        <w:rPr>
          <w:rFonts w:ascii="Times New Roman;Times;serif" w:hAnsi="Times New Roman;Times;serif"/>
          <w:b/>
          <w:color w:val="000000"/>
          <w:sz w:val="20"/>
        </w:rPr>
      </w:pPr>
      <w:bookmarkStart w:id="6" w:name="tOOP"/>
      <w:bookmarkEnd w:id="6"/>
      <w:r>
        <w:rPr>
          <w:rFonts w:ascii="Times New Roman;Times;serif" w:hAnsi="Times New Roman;Times;serif"/>
          <w:b/>
          <w:color w:val="000000"/>
          <w:sz w:val="20"/>
        </w:rPr>
        <w:t xml:space="preserve">OVERVIEW OF PROPOSALS TO BE PRESENTED AT THE ANNUAL MEETING </w:t>
      </w:r>
    </w:p>
    <w:tbl>
      <w:tblPr>
        <w:tblW w:w="10205" w:type="dxa"/>
        <w:jc w:val="left"/>
        <w:tblInd w:w="0" w:type="dxa"/>
        <w:tblLayout w:type="fixed"/>
        <w:tblCellMar>
          <w:top w:w="0" w:type="dxa"/>
          <w:left w:w="0" w:type="dxa"/>
          <w:bottom w:w="0" w:type="dxa"/>
          <w:right w:w="0" w:type="dxa"/>
        </w:tblCellMar>
      </w:tblPr>
      <w:tblGrid>
        <w:gridCol w:w="4277"/>
        <w:gridCol w:w="170"/>
        <w:gridCol w:w="170"/>
        <w:gridCol w:w="410"/>
        <w:gridCol w:w="170"/>
        <w:gridCol w:w="170"/>
        <w:gridCol w:w="2805"/>
        <w:gridCol w:w="170"/>
        <w:gridCol w:w="170"/>
        <w:gridCol w:w="1693"/>
      </w:tblGrid>
      <w:tr>
        <w:trPr/>
        <w:tc>
          <w:tcPr>
            <w:tcW w:w="42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vAlign w:val="center"/>
          </w:tcPr>
          <w:p>
            <w:pPr>
              <w:pStyle w:val="TableContents"/>
              <w:bidi w:val="0"/>
              <w:spacing w:before="0" w:after="0"/>
              <w:jc w:val="left"/>
              <w:rPr/>
            </w:pPr>
            <w:r>
              <w:rPr/>
              <w:t> </w:t>
            </w:r>
          </w:p>
        </w:tc>
      </w:tr>
      <w:tr>
        <w:trPr/>
        <w:tc>
          <w:tcPr>
            <w:tcW w:w="42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Voting Standard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Recommendation </w:t>
            </w:r>
          </w:p>
        </w:tc>
      </w:tr>
      <w:tr>
        <w:trPr/>
        <w:tc>
          <w:tcPr>
            <w:tcW w:w="427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Election of the three Class II directors named in this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pPr>
            <w:hyperlink w:anchor="tPROP1">
              <w:r>
                <w:rPr>
                  <w:rStyle w:val="InternetLink"/>
                  <w:rFonts w:ascii="Times New Roman;Times;serif" w:hAnsi="Times New Roman;Times;serif"/>
                  <w:color w:val="000000"/>
                  <w:sz w:val="20"/>
                </w:rPr>
                <w:t>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shares present in person or represented by proxy and entitled to vote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vAlign w:val="center"/>
          </w:tcPr>
          <w:p>
            <w:pPr>
              <w:pStyle w:val="TableContents"/>
              <w:bidi w:val="0"/>
              <w:spacing w:before="0" w:after="283"/>
              <w:jc w:val="center"/>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each director nominee </w:t>
            </w:r>
          </w:p>
        </w:tc>
      </w:tr>
      <w:tr>
        <w:trPr/>
        <w:tc>
          <w:tcPr>
            <w:tcW w:w="427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vAlign w:val="center"/>
          </w:tcPr>
          <w:p>
            <w:pPr>
              <w:pStyle w:val="TableContents"/>
              <w:bidi w:val="0"/>
              <w:spacing w:before="0" w:after="0"/>
              <w:jc w:val="left"/>
              <w:rPr>
                <w:color w:val="000000"/>
              </w:rPr>
            </w:pPr>
            <w:r>
              <w:rPr>
                <w:color w:val="000000"/>
              </w:rPr>
              <w:t> </w:t>
            </w:r>
          </w:p>
        </w:tc>
      </w:tr>
      <w:tr>
        <w:trPr/>
        <w:tc>
          <w:tcPr>
            <w:tcW w:w="427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Ratification of the selection of CohnReznick LLP as the Company’s independent registered public accounting firm for its fiscal year ending December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pPr>
            <w:hyperlink w:anchor="tPROP2">
              <w:r>
                <w:rPr>
                  <w:rStyle w:val="InternetLink"/>
                  <w:rFonts w:ascii="Times New Roman;Times;serif" w:hAnsi="Times New Roman;Times;serif"/>
                  <w:color w:val="000000"/>
                  <w:sz w:val="20"/>
                </w:rPr>
                <w:t>16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shares present in person or represented by proxy and entitled to vote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vAlign w:val="center"/>
          </w:tcPr>
          <w:p>
            <w:pPr>
              <w:pStyle w:val="TableContents"/>
              <w:bidi w:val="0"/>
              <w:spacing w:before="0" w:after="283"/>
              <w:jc w:val="center"/>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w:t>
            </w:r>
          </w:p>
        </w:tc>
      </w:tr>
      <w:tr>
        <w:trPr/>
        <w:tc>
          <w:tcPr>
            <w:tcW w:w="42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7" w:name="ny20071620x1_def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365"/>
        <w:gridCol w:w="170"/>
        <w:gridCol w:w="170"/>
        <w:gridCol w:w="500"/>
      </w:tblGrid>
      <w:tr>
        <w:trPr/>
        <w:tc>
          <w:tcPr>
            <w:tcW w:w="9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9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65"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SUMMARY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i</w:t>
              </w:r>
            </w:hyperlink>
          </w:p>
        </w:tc>
      </w:tr>
      <w:tr>
        <w:trPr/>
        <w:tc>
          <w:tcPr>
            <w:tcW w:w="9365" w:type="dxa"/>
            <w:tcBorders/>
            <w:vAlign w:val="center"/>
          </w:tcPr>
          <w:p>
            <w:pPr>
              <w:pStyle w:val="TableContents"/>
              <w:bidi w:val="0"/>
              <w:spacing w:before="0" w:after="283"/>
              <w:ind w:left="0" w:right="0" w:hanging="0"/>
              <w:jc w:val="left"/>
              <w:rPr/>
            </w:pPr>
            <w:hyperlink w:anchor="tOOP">
              <w:r>
                <w:rPr>
                  <w:rStyle w:val="InternetLink"/>
                  <w:rFonts w:ascii="Times New Roman;Times;serif" w:hAnsi="Times New Roman;Times;serif"/>
                  <w:color w:val="000000"/>
                  <w:sz w:val="20"/>
                </w:rPr>
                <w:t>OVERVIEW OF PROPOSALS TO BE PRESENTED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OOP">
              <w:r>
                <w:rPr>
                  <w:rStyle w:val="InternetLink"/>
                  <w:rFonts w:ascii="Times New Roman;Times;serif" w:hAnsi="Times New Roman;Times;serif"/>
                  <w:color w:val="000000"/>
                  <w:sz w:val="20"/>
                </w:rPr>
                <w:t>i</w:t>
              </w:r>
            </w:hyperlink>
          </w:p>
        </w:tc>
      </w:tr>
      <w:tr>
        <w:trPr/>
        <w:tc>
          <w:tcPr>
            <w:tcW w:w="9365"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p>
        </w:tc>
      </w:tr>
      <w:tr>
        <w:trPr/>
        <w:tc>
          <w:tcPr>
            <w:tcW w:w="936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
              <w:r>
                <w:rPr>
                  <w:rStyle w:val="InternetLink"/>
                  <w:rFonts w:ascii="Times New Roman;Times;serif" w:hAnsi="Times New Roman;Times;serif"/>
                  <w:color w:val="000000"/>
                  <w:sz w:val="20"/>
                </w:rPr>
                <w:t>INFORMATION REGARDING THE BOARD OF DIRECTORS AND 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
              <w:r>
                <w:rPr>
                  <w:rStyle w:val="InternetLink"/>
                  <w:rFonts w:ascii="Times New Roman;Times;serif" w:hAnsi="Times New Roman;Times;serif"/>
                  <w:color w:val="000000"/>
                  <w:sz w:val="20"/>
                </w:rPr>
                <w:t>10</w:t>
              </w:r>
            </w:hyperlink>
          </w:p>
        </w:tc>
      </w:tr>
      <w:tr>
        <w:trPr/>
        <w:tc>
          <w:tcPr>
            <w:tcW w:w="9365" w:type="dxa"/>
            <w:tcBorders/>
            <w:vAlign w:val="center"/>
          </w:tcPr>
          <w:p>
            <w:pPr>
              <w:pStyle w:val="TableContents"/>
              <w:bidi w:val="0"/>
              <w:spacing w:before="0" w:after="283"/>
              <w:ind w:left="0" w:right="0" w:hanging="0"/>
              <w:jc w:val="left"/>
              <w:rPr/>
            </w:pPr>
            <w:hyperlink w:anchor="tIR1">
              <w:r>
                <w:rPr>
                  <w:rStyle w:val="InternetLink"/>
                  <w:rFonts w:ascii="Times New Roman;Times;serif" w:hAnsi="Times New Roman;Times;serif"/>
                  <w:color w:val="000000"/>
                  <w:sz w:val="20"/>
                </w:rPr>
                <w:t>Independence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1">
              <w:r>
                <w:rPr>
                  <w:rStyle w:val="InternetLink"/>
                  <w:rFonts w:ascii="Times New Roman;Times;serif" w:hAnsi="Times New Roman;Times;serif"/>
                  <w:color w:val="000000"/>
                  <w:sz w:val="20"/>
                </w:rPr>
                <w:t>10</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2">
              <w:r>
                <w:rPr>
                  <w:rStyle w:val="InternetLink"/>
                  <w:rFonts w:ascii="Times New Roman;Times;serif" w:hAnsi="Times New Roman;Times;serif"/>
                  <w:color w:val="000000"/>
                  <w:sz w:val="20"/>
                </w:rPr>
                <w:t>Board Leadership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2">
              <w:r>
                <w:rPr>
                  <w:rStyle w:val="InternetLink"/>
                  <w:rFonts w:ascii="Times New Roman;Times;serif" w:hAnsi="Times New Roman;Times;serif"/>
                  <w:color w:val="000000"/>
                  <w:sz w:val="20"/>
                </w:rPr>
                <w:t>10</w:t>
              </w:r>
            </w:hyperlink>
          </w:p>
        </w:tc>
      </w:tr>
      <w:tr>
        <w:trPr/>
        <w:tc>
          <w:tcPr>
            <w:tcW w:w="9365" w:type="dxa"/>
            <w:tcBorders/>
            <w:vAlign w:val="center"/>
          </w:tcPr>
          <w:p>
            <w:pPr>
              <w:pStyle w:val="TableContents"/>
              <w:bidi w:val="0"/>
              <w:spacing w:before="0" w:after="283"/>
              <w:ind w:left="0" w:right="0" w:hanging="0"/>
              <w:jc w:val="left"/>
              <w:rPr/>
            </w:pPr>
            <w:hyperlink w:anchor="tIR3">
              <w:r>
                <w:rPr>
                  <w:rStyle w:val="InternetLink"/>
                  <w:rFonts w:ascii="Times New Roman;Times;serif" w:hAnsi="Times New Roman;Times;serif"/>
                  <w:color w:val="000000"/>
                  <w:sz w:val="20"/>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3">
              <w:r>
                <w:rPr>
                  <w:rStyle w:val="InternetLink"/>
                  <w:rFonts w:ascii="Times New Roman;Times;serif" w:hAnsi="Times New Roman;Times;serif"/>
                  <w:color w:val="000000"/>
                  <w:sz w:val="20"/>
                </w:rPr>
                <w:t>10</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4">
              <w:r>
                <w:rPr>
                  <w:rStyle w:val="InternetLink"/>
                  <w:rFonts w:ascii="Times New Roman;Times;serif" w:hAnsi="Times New Roman;Times;serif"/>
                  <w:color w:val="000000"/>
                  <w:sz w:val="20"/>
                </w:rPr>
                <w:t>Meetings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4">
              <w:r>
                <w:rPr>
                  <w:rStyle w:val="InternetLink"/>
                  <w:rFonts w:ascii="Times New Roman;Times;serif" w:hAnsi="Times New Roman;Times;serif"/>
                  <w:color w:val="000000"/>
                  <w:sz w:val="20"/>
                </w:rPr>
                <w:t>11</w:t>
              </w:r>
            </w:hyperlink>
          </w:p>
        </w:tc>
      </w:tr>
      <w:tr>
        <w:trPr/>
        <w:tc>
          <w:tcPr>
            <w:tcW w:w="9365" w:type="dxa"/>
            <w:tcBorders/>
            <w:vAlign w:val="center"/>
          </w:tcPr>
          <w:p>
            <w:pPr>
              <w:pStyle w:val="TableContents"/>
              <w:bidi w:val="0"/>
              <w:spacing w:before="0" w:after="283"/>
              <w:ind w:left="0" w:right="0" w:hanging="0"/>
              <w:jc w:val="left"/>
              <w:rPr/>
            </w:pPr>
            <w:hyperlink w:anchor="tIR5">
              <w:r>
                <w:rPr>
                  <w:rStyle w:val="InternetLink"/>
                  <w:rFonts w:ascii="Times New Roman;Times;serif" w:hAnsi="Times New Roman;Times;serif"/>
                  <w:color w:val="000000"/>
                  <w:sz w:val="20"/>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5">
              <w:r>
                <w:rPr>
                  <w:rStyle w:val="InternetLink"/>
                  <w:rFonts w:ascii="Times New Roman;Times;serif" w:hAnsi="Times New Roman;Times;serif"/>
                  <w:color w:val="000000"/>
                  <w:sz w:val="20"/>
                </w:rPr>
                <w:t>11</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6">
              <w:r>
                <w:rPr>
                  <w:rStyle w:val="InternetLink"/>
                  <w:rFonts w:ascii="Times New Roman;Times;serif" w:hAnsi="Times New Roman;Times;serif"/>
                  <w:color w:val="000000"/>
                  <w:sz w:val="20"/>
                </w:rPr>
                <w:t>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6">
              <w:r>
                <w:rPr>
                  <w:rStyle w:val="InternetLink"/>
                  <w:rFonts w:ascii="Times New Roman;Times;serif" w:hAnsi="Times New Roman;Times;serif"/>
                  <w:color w:val="000000"/>
                  <w:sz w:val="20"/>
                </w:rPr>
                <w:t>11</w:t>
              </w:r>
            </w:hyperlink>
          </w:p>
        </w:tc>
      </w:tr>
      <w:tr>
        <w:trPr/>
        <w:tc>
          <w:tcPr>
            <w:tcW w:w="9365" w:type="dxa"/>
            <w:tcBorders/>
            <w:vAlign w:val="center"/>
          </w:tcPr>
          <w:p>
            <w:pPr>
              <w:pStyle w:val="TableContents"/>
              <w:bidi w:val="0"/>
              <w:spacing w:before="0" w:after="283"/>
              <w:ind w:left="0" w:right="0" w:hanging="0"/>
              <w:jc w:val="left"/>
              <w:rPr/>
            </w:pPr>
            <w:hyperlink w:anchor="tIR7">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7">
              <w:r>
                <w:rPr>
                  <w:rStyle w:val="InternetLink"/>
                  <w:rFonts w:ascii="Times New Roman;Times;serif" w:hAnsi="Times New Roman;Times;serif"/>
                  <w:color w:val="000000"/>
                  <w:sz w:val="20"/>
                </w:rPr>
                <w:t>12</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8">
              <w:r>
                <w:rPr>
                  <w:rStyle w:val="InternetLink"/>
                  <w:rFonts w:ascii="Times New Roman;Times;serif" w:hAnsi="Times New Roman;Times;serif"/>
                  <w:color w:val="000000"/>
                  <w:sz w:val="20"/>
                </w:rPr>
                <w:t>Compensation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8">
              <w:r>
                <w:rPr>
                  <w:rStyle w:val="InternetLink"/>
                  <w:rFonts w:ascii="Times New Roman;Times;serif" w:hAnsi="Times New Roman;Times;serif"/>
                  <w:color w:val="000000"/>
                  <w:sz w:val="20"/>
                </w:rPr>
                <w:t>12</w:t>
              </w:r>
            </w:hyperlink>
          </w:p>
        </w:tc>
      </w:tr>
      <w:tr>
        <w:trPr/>
        <w:tc>
          <w:tcPr>
            <w:tcW w:w="9365" w:type="dxa"/>
            <w:tcBorders/>
            <w:vAlign w:val="center"/>
          </w:tcPr>
          <w:p>
            <w:pPr>
              <w:pStyle w:val="TableContents"/>
              <w:bidi w:val="0"/>
              <w:spacing w:before="0" w:after="283"/>
              <w:ind w:left="0" w:right="0" w:hanging="0"/>
              <w:jc w:val="left"/>
              <w:rPr/>
            </w:pPr>
            <w:hyperlink w:anchor="tIR9">
              <w:r>
                <w:rPr>
                  <w:rStyle w:val="InternetLink"/>
                  <w:rFonts w:ascii="Times New Roman;Times;serif" w:hAnsi="Times New Roman;Times;serif"/>
                  <w:color w:val="000000"/>
                  <w:sz w:val="20"/>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9">
              <w:r>
                <w:rPr>
                  <w:rStyle w:val="InternetLink"/>
                  <w:rFonts w:ascii="Times New Roman;Times;serif" w:hAnsi="Times New Roman;Times;serif"/>
                  <w:color w:val="000000"/>
                  <w:sz w:val="20"/>
                </w:rPr>
                <w:t>13</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10">
              <w:r>
                <w:rPr>
                  <w:rStyle w:val="InternetLink"/>
                  <w:rFonts w:ascii="Times New Roman;Times;serif" w:hAnsi="Times New Roman;Times;serif"/>
                  <w:color w:val="000000"/>
                  <w:sz w:val="20"/>
                </w:rPr>
                <w:t>Communications With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10">
              <w:r>
                <w:rPr>
                  <w:rStyle w:val="InternetLink"/>
                  <w:rFonts w:ascii="Times New Roman;Times;serif" w:hAnsi="Times New Roman;Times;serif"/>
                  <w:color w:val="000000"/>
                  <w:sz w:val="20"/>
                </w:rPr>
                <w:t>15</w:t>
              </w:r>
            </w:hyperlink>
          </w:p>
        </w:tc>
      </w:tr>
      <w:tr>
        <w:trPr/>
        <w:tc>
          <w:tcPr>
            <w:tcW w:w="9365" w:type="dxa"/>
            <w:tcBorders/>
            <w:vAlign w:val="center"/>
          </w:tcPr>
          <w:p>
            <w:pPr>
              <w:pStyle w:val="TableContents"/>
              <w:bidi w:val="0"/>
              <w:spacing w:before="0" w:after="283"/>
              <w:ind w:left="0" w:right="0" w:hanging="0"/>
              <w:jc w:val="left"/>
              <w:rPr/>
            </w:pPr>
            <w:hyperlink w:anchor="tIR11">
              <w:r>
                <w:rPr>
                  <w:rStyle w:val="InternetLink"/>
                  <w:rFonts w:ascii="Times New Roman;Times;serif" w:hAnsi="Times New Roman;Times;serif"/>
                  <w:color w:val="000000"/>
                  <w:sz w:val="20"/>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11">
              <w:r>
                <w:rPr>
                  <w:rStyle w:val="InternetLink"/>
                  <w:rFonts w:ascii="Times New Roman;Times;serif" w:hAnsi="Times New Roman;Times;serif"/>
                  <w:color w:val="000000"/>
                  <w:sz w:val="20"/>
                </w:rPr>
                <w:t>15</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12">
              <w:r>
                <w:rPr>
                  <w:rStyle w:val="InternetLink"/>
                  <w:rFonts w:ascii="Times New Roman;Times;serif" w:hAnsi="Times New Roman;Times;serif"/>
                  <w:color w:val="000000"/>
                  <w:sz w:val="20"/>
                </w:rPr>
                <w:t>Insider Trading Policies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12">
              <w:r>
                <w:rPr>
                  <w:rStyle w:val="InternetLink"/>
                  <w:rFonts w:ascii="Times New Roman;Times;serif" w:hAnsi="Times New Roman;Times;serif"/>
                  <w:color w:val="000000"/>
                  <w:sz w:val="20"/>
                </w:rPr>
                <w:t>15</w:t>
              </w:r>
            </w:hyperlink>
          </w:p>
        </w:tc>
      </w:tr>
      <w:tr>
        <w:trPr/>
        <w:tc>
          <w:tcPr>
            <w:tcW w:w="9365" w:type="dxa"/>
            <w:tcBorders/>
            <w:vAlign w:val="center"/>
          </w:tcPr>
          <w:p>
            <w:pPr>
              <w:pStyle w:val="TableContents"/>
              <w:bidi w:val="0"/>
              <w:spacing w:before="0" w:after="283"/>
              <w:ind w:left="0" w:right="0" w:hanging="0"/>
              <w:jc w:val="left"/>
              <w:rPr/>
            </w:pPr>
            <w:hyperlink w:anchor="tIR13">
              <w:r>
                <w:rPr>
                  <w:rStyle w:val="InternetLink"/>
                  <w:rFonts w:ascii="Times New Roman;Times;serif" w:hAnsi="Times New Roman;Times;serif"/>
                  <w:color w:val="000000"/>
                  <w:sz w:val="20"/>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13">
              <w:r>
                <w:rPr>
                  <w:rStyle w:val="InternetLink"/>
                  <w:rFonts w:ascii="Times New Roman;Times;serif" w:hAnsi="Times New Roman;Times;serif"/>
                  <w:color w:val="000000"/>
                  <w:sz w:val="20"/>
                </w:rPr>
                <w:t>15</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14">
              <w:r>
                <w:rPr>
                  <w:rStyle w:val="InternetLink"/>
                  <w:rFonts w:ascii="Times New Roman;Times;serif" w:hAnsi="Times New Roman;Times;serif"/>
                  <w:color w:val="000000"/>
                  <w:sz w:val="20"/>
                </w:rPr>
                <w:t>Hedging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14">
              <w:r>
                <w:rPr>
                  <w:rStyle w:val="InternetLink"/>
                  <w:rFonts w:ascii="Times New Roman;Times;serif" w:hAnsi="Times New Roman;Times;serif"/>
                  <w:color w:val="000000"/>
                  <w:sz w:val="20"/>
                </w:rPr>
                <w:t>15</w:t>
              </w:r>
            </w:hyperlink>
          </w:p>
        </w:tc>
      </w:tr>
      <w:tr>
        <w:trPr/>
        <w:tc>
          <w:tcPr>
            <w:tcW w:w="9365"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2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16</w:t>
              </w:r>
            </w:hyperlink>
          </w:p>
        </w:tc>
      </w:tr>
      <w:tr>
        <w:trPr/>
        <w:tc>
          <w:tcPr>
            <w:tcW w:w="936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17</w:t>
              </w:r>
            </w:hyperlink>
          </w:p>
        </w:tc>
      </w:tr>
      <w:tr>
        <w:trPr/>
        <w:tc>
          <w:tcPr>
            <w:tcW w:w="9365"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SOO">
              <w:r>
                <w:rPr>
                  <w:rStyle w:val="InternetLink"/>
                  <w:rFonts w:ascii="Times New Roman;Times;serif" w:hAnsi="Times New Roman;Times;serif"/>
                  <w:color w:val="000000"/>
                  <w:sz w:val="20"/>
                </w:rPr>
                <w:t>18</w:t>
              </w:r>
            </w:hyperlink>
          </w:p>
        </w:tc>
      </w:tr>
      <w:tr>
        <w:trPr/>
        <w:tc>
          <w:tcPr>
            <w:tcW w:w="936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20</w:t>
              </w:r>
            </w:hyperlink>
          </w:p>
        </w:tc>
      </w:tr>
      <w:tr>
        <w:trPr/>
        <w:tc>
          <w:tcPr>
            <w:tcW w:w="9365"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25</w:t>
              </w:r>
            </w:hyperlink>
          </w:p>
        </w:tc>
      </w:tr>
      <w:tr>
        <w:trPr/>
        <w:tc>
          <w:tcPr>
            <w:tcW w:w="9365" w:type="dxa"/>
            <w:tcBorders/>
            <w:shd w:fill="CCEEFF" w:val="clear"/>
            <w:vAlign w:val="center"/>
          </w:tcPr>
          <w:p>
            <w:pPr>
              <w:pStyle w:val="TableContents"/>
              <w:bidi w:val="0"/>
              <w:spacing w:before="0" w:after="283"/>
              <w:ind w:left="0" w:right="0" w:hanging="0"/>
              <w:jc w:val="left"/>
              <w:rPr/>
            </w:pPr>
            <w:hyperlink w:anchor="tTWR">
              <w:r>
                <w:rPr>
                  <w:rStyle w:val="InternetLink"/>
                  <w:rFonts w:ascii="Times New Roman;Times;serif" w:hAnsi="Times New Roman;Times;serif"/>
                  <w:color w:val="000000"/>
                  <w:sz w:val="20"/>
                </w:rPr>
                <w:t>TRANSACTIONS WITH RELATED PERSONS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TWR">
              <w:r>
                <w:rPr>
                  <w:rStyle w:val="InternetLink"/>
                  <w:rFonts w:ascii="Times New Roman;Times;serif" w:hAnsi="Times New Roman;Times;serif"/>
                  <w:color w:val="000000"/>
                  <w:sz w:val="20"/>
                </w:rPr>
                <w:t>26</w:t>
              </w:r>
            </w:hyperlink>
          </w:p>
        </w:tc>
      </w:tr>
      <w:tr>
        <w:trPr/>
        <w:tc>
          <w:tcPr>
            <w:tcW w:w="9365" w:type="dxa"/>
            <w:tcBorders/>
            <w:vAlign w:val="center"/>
          </w:tcPr>
          <w:p>
            <w:pPr>
              <w:pStyle w:val="TableContents"/>
              <w:bidi w:val="0"/>
              <w:spacing w:before="0" w:after="283"/>
              <w:ind w:left="0" w:right="0" w:hanging="0"/>
              <w:jc w:val="left"/>
              <w:rPr/>
            </w:pPr>
            <w:hyperlink w:anchor="tRTP">
              <w:r>
                <w:rPr>
                  <w:rStyle w:val="InternetLink"/>
                  <w:rFonts w:ascii="Times New Roman;Times;serif" w:hAnsi="Times New Roman;Times;serif"/>
                  <w:color w:val="000000"/>
                  <w:sz w:val="20"/>
                </w:rPr>
                <w:t>Related-Person Transactions Policy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RTP">
              <w:r>
                <w:rPr>
                  <w:rStyle w:val="InternetLink"/>
                  <w:rFonts w:ascii="Times New Roman;Times;serif" w:hAnsi="Times New Roman;Times;serif"/>
                  <w:color w:val="000000"/>
                  <w:sz w:val="20"/>
                </w:rPr>
                <w:t>26</w:t>
              </w:r>
            </w:hyperlink>
          </w:p>
        </w:tc>
      </w:tr>
      <w:tr>
        <w:trPr/>
        <w:tc>
          <w:tcPr>
            <w:tcW w:w="9365" w:type="dxa"/>
            <w:tcBorders/>
            <w:shd w:fill="CCEEFF" w:val="clear"/>
            <w:vAlign w:val="center"/>
          </w:tcPr>
          <w:p>
            <w:pPr>
              <w:pStyle w:val="TableContents"/>
              <w:bidi w:val="0"/>
              <w:spacing w:before="0" w:after="283"/>
              <w:ind w:left="0" w:right="0" w:hanging="0"/>
              <w:jc w:val="left"/>
              <w:rPr/>
            </w:pPr>
            <w:hyperlink w:anchor="tCRT">
              <w:r>
                <w:rPr>
                  <w:rStyle w:val="InternetLink"/>
                  <w:rFonts w:ascii="Times New Roman;Times;serif" w:hAnsi="Times New Roman;Times;serif"/>
                  <w:color w:val="000000"/>
                  <w:sz w:val="20"/>
                </w:rPr>
                <w:t>Certain Related-Person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RT">
              <w:r>
                <w:rPr>
                  <w:rStyle w:val="InternetLink"/>
                  <w:rFonts w:ascii="Times New Roman;Times;serif" w:hAnsi="Times New Roman;Times;serif"/>
                  <w:color w:val="000000"/>
                  <w:sz w:val="20"/>
                </w:rPr>
                <w:t>26</w:t>
              </w:r>
            </w:hyperlink>
          </w:p>
        </w:tc>
      </w:tr>
      <w:tr>
        <w:trPr/>
        <w:tc>
          <w:tcPr>
            <w:tcW w:w="9365" w:type="dxa"/>
            <w:tcBorders/>
            <w:vAlign w:val="center"/>
          </w:tcPr>
          <w:p>
            <w:pPr>
              <w:pStyle w:val="TableContents"/>
              <w:bidi w:val="0"/>
              <w:spacing w:before="0" w:after="283"/>
              <w:ind w:left="0" w:right="0" w:hanging="0"/>
              <w:jc w:val="left"/>
              <w:rPr/>
            </w:pPr>
            <w:hyperlink w:anchor="tIA">
              <w:r>
                <w:rPr>
                  <w:rStyle w:val="InternetLink"/>
                  <w:rFonts w:ascii="Times New Roman;Times;serif" w:hAnsi="Times New Roman;Times;serif"/>
                  <w:color w:val="000000"/>
                  <w:sz w:val="20"/>
                </w:rPr>
                <w:t>Indemnification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A">
              <w:r>
                <w:rPr>
                  <w:rStyle w:val="InternetLink"/>
                  <w:rFonts w:ascii="Times New Roman;Times;serif" w:hAnsi="Times New Roman;Times;serif"/>
                  <w:color w:val="000000"/>
                  <w:sz w:val="20"/>
                </w:rPr>
                <w:t>26</w:t>
              </w:r>
            </w:hyperlink>
          </w:p>
        </w:tc>
      </w:tr>
      <w:tr>
        <w:trPr/>
        <w:tc>
          <w:tcPr>
            <w:tcW w:w="9365" w:type="dxa"/>
            <w:tcBorders/>
            <w:shd w:fill="CCEEFF" w:val="clear"/>
            <w:vAlign w:val="center"/>
          </w:tcPr>
          <w:p>
            <w:pPr>
              <w:pStyle w:val="TableContents"/>
              <w:bidi w:val="0"/>
              <w:spacing w:before="0" w:after="283"/>
              <w:ind w:left="0" w:right="0" w:hanging="0"/>
              <w:jc w:val="left"/>
              <w:rPr/>
            </w:pPr>
            <w:hyperlink w:anchor="tHOP">
              <w:r>
                <w:rPr>
                  <w:rStyle w:val="InternetLink"/>
                  <w:rFonts w:ascii="Times New Roman;Times;serif" w:hAnsi="Times New Roman;Times;serif"/>
                  <w:color w:val="000000"/>
                  <w:sz w:val="20"/>
                </w:rPr>
                <w:t>HOUSEHOLDING OF PROXY MATERIALS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HOP">
              <w:r>
                <w:rPr>
                  <w:rStyle w:val="InternetLink"/>
                  <w:rFonts w:ascii="Times New Roman;Times;serif" w:hAnsi="Times New Roman;Times;serif"/>
                  <w:color w:val="000000"/>
                  <w:sz w:val="20"/>
                </w:rPr>
                <w:t>27</w:t>
              </w:r>
            </w:hyperlink>
          </w:p>
        </w:tc>
      </w:tr>
      <w:tr>
        <w:trPr/>
        <w:tc>
          <w:tcPr>
            <w:tcW w:w="936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OM">
              <w:r>
                <w:rPr>
                  <w:rStyle w:val="InternetLink"/>
                  <w:rFonts w:ascii="Times New Roman;Times;serif" w:hAnsi="Times New Roman;Times;serif"/>
                  <w:color w:val="000000"/>
                  <w:sz w:val="20"/>
                </w:rPr>
                <w:t>28</w:t>
              </w:r>
            </w:hyperlink>
          </w:p>
        </w:tc>
      </w:tr>
      <w:tr>
        <w:trPr/>
        <w:tc>
          <w:tcPr>
            <w:tcW w:w="9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10" w:name="ny20071620x1_def14a_104-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A"/>
      <w:bookmarkEnd w:id="11"/>
      <w:r>
        <w:rPr>
          <w:rFonts w:ascii="Times New Roman;Times;serif" w:hAnsi="Times New Roman;Times;serif"/>
          <w:b/>
          <w:color w:val="000000"/>
          <w:sz w:val="20"/>
        </w:rPr>
        <w:t xml:space="preserve">QUESTIONS AND ANSWERS ABOUT THESE PROXY MATERIALS AND VOTING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sent you these proxy materials because the Board is soliciting your proxy to vote at the Annual Meeting, including at any adjournments or postponements thereof. You are invited to attend the Annual Meeting to vote on the proposals described in this Proxy Statement. However, you do not need to attend the Annual Meeting to vote your shares. Instead, you may simply complete, sign and return a proxy card, follow the instructions on your Notice of Internet Availability of Proxy Materials, or follow the instructions below to submit your proxy by telephone or on the internet.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mail these proxy materials on or about April 29, 2026 to all stockholders of record entitled to vote at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did I receive a notice in the mail regarding the Internet availability of proxy materials instead of a full set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rules adopted by the SEC, the Company has elected to provide access to its proxy materials via the Internet. Accordingly, the 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 an ongoing basis. The Company encourages stockholders to take advantage of the availability of the proxy materials on the Internet to help reduce the expenses incurred by the Company in connection with the Annual Meeting and to reduce the environmental impact of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on Wednesday, June 17, 2026 at 11:00 a.m. Eastern Time at 9713 Key West Avenue, Suite 400, Rockville, Maryland 20850. Information on how to vote in person at the Annual Meeting is discussed below.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April 21, 2026 (the “record date”) will be entitled to vote at the Annual Meeting. On the record date, there were 107,121,672 shares of common stock outstanding and entitled to vote.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on April 21, 2026 your shares were registered directly in your name with MaxCyte’s transfer agent, Computershare Trust Company N.A. (“</w:t>
      </w:r>
      <w:r>
        <w:rPr>
          <w:rFonts w:ascii="Times New Roman;Times;serif" w:hAnsi="Times New Roman;Times;serif"/>
          <w:b/>
          <w:i/>
          <w:color w:val="000000"/>
          <w:sz w:val="20"/>
        </w:rPr>
        <w:t>Computershare</w:t>
      </w:r>
      <w:r>
        <w:rPr>
          <w:rFonts w:ascii="Times New Roman;Times;serif" w:hAnsi="Times New Roman;Times;serif"/>
          <w:color w:val="000000"/>
          <w:sz w:val="20"/>
        </w:rPr>
        <w:t xml:space="preserve">”), then you are a stockholder of record. As a stockholder of record, you may vote in person at the meeting or vote by proxy. Whether or not you plan to attend the Annual Meeting, we urge you to fill out and return a proxy card or vote by proxy by telephone or on the internet as instructed below or in your Notice of Internet Availability of Proxy Materials to ensure your vote is counted.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April 21, 2026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in person at the meeting unless you request and obtain a valid proxy from your broker, bank, or other agent.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CREST Depository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you hold common stock via the CREST system in the United Kingdom in the form of CREST Depository Interests (“</w:t>
      </w:r>
      <w:r>
        <w:rPr>
          <w:rFonts w:ascii="Times New Roman;Times;serif" w:hAnsi="Times New Roman;Times;serif"/>
          <w:b/>
          <w:i/>
          <w:color w:val="000000"/>
          <w:sz w:val="20"/>
        </w:rPr>
        <w:t>CDIs</w:t>
      </w:r>
      <w:r>
        <w:rPr>
          <w:rFonts w:ascii="Times New Roman;Times;serif" w:hAnsi="Times New Roman;Times;serif"/>
          <w:color w:val="000000"/>
          <w:sz w:val="20"/>
        </w:rPr>
        <w:t>”), representing common stock held via The Depository Trust Company (“</w:t>
      </w:r>
      <w:r>
        <w:rPr>
          <w:rFonts w:ascii="Times New Roman;Times;serif" w:hAnsi="Times New Roman;Times;serif"/>
          <w:b/>
          <w:i/>
          <w:color w:val="000000"/>
          <w:sz w:val="20"/>
        </w:rPr>
        <w:t>DTC</w:t>
      </w:r>
      <w:r>
        <w:rPr>
          <w:rFonts w:ascii="Times New Roman;Times;serif" w:hAnsi="Times New Roman;Times;serif"/>
          <w:color w:val="000000"/>
          <w:sz w:val="20"/>
        </w:rPr>
        <w:t xml:space="preserve">”) in the United States, you may vote your interests in the underlying common stock by submitting a form of proxy to Computershare Investor Services PLC or submitting a proxy via the CREST system.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71620x1_def14a_104-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Entitlement to vote at the Annual Meeting and the number of votes which may be cast will be determined by reference to the CDI Register at the close of business on April 21, 2026. Changes to entries on the CDI Register after that time shall be disregarded in determining the rights of any holder of CDIs to vote at the Annual Meeting.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two matters scheduled for a vote: </w:t>
      </w:r>
    </w:p>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of the three Class II directors named in this Proxy Statement (Proposal 1);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Ratification of the Audit Committee’s selection of CohnReznick LLP as the independent registered public accounting firm of the Company for its fiscal year ending December 31, 2026 (Proposal 2).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either vote “For” all the nominees to the Board or you may “Withhold” your vote for any nominee you specify. For each of the other matters to be voted on, you may vote “For” or “Against” the applicable proposal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as follows: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at the Annual Meeting, vote by proxy using a proxy card, vote by proxy over the telephone or vote by proxy on the internet. Instructions are provided below and in your Notice of Internet Availability of Proxy Materials. Whether or not you plan to attend the Annual Meeting, we urge you to vote by proxy to ensure your vote is counted. You may still attend the Annual Meeting and vote at the Annual Meeting even if you have already voted by proxy. </w:t>
      </w:r>
    </w:p>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in person, come to the Annual Meeting and we will give you a ballot when you arrive.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w:t>
            </w:r>
            <w:r>
              <w:rPr>
                <w:rFonts w:ascii="Times New Roman;Times;serif" w:hAnsi="Times New Roman;Times;serif"/>
                <w:b/>
                <w:i/>
                <w:color w:val="000000"/>
                <w:sz w:val="20"/>
              </w:rPr>
              <w:t xml:space="preserve">prior </w:t>
            </w:r>
            <w:r>
              <w:rPr>
                <w:rFonts w:ascii="Times New Roman;Times;serif" w:hAnsi="Times New Roman;Times;serif"/>
                <w:color w:val="000000"/>
                <w:sz w:val="20"/>
              </w:rPr>
              <w:t xml:space="preserve">to the Annual Meeting (until 11:59 p.m. Eastern Time on Tuesday, June 16, 2026), you may vote on the internet, by telephone or by completing and returning the proxy card or voting instruction form, each as described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on the </w:t>
            </w:r>
            <w:r>
              <w:rPr>
                <w:rFonts w:ascii="Times New Roman;Times;serif" w:hAnsi="Times New Roman;Times;serif"/>
                <w:b/>
                <w:color w:val="000000"/>
                <w:sz w:val="20"/>
              </w:rPr>
              <w:t xml:space="preserve">internet </w:t>
            </w:r>
            <w:r>
              <w:rPr>
                <w:rFonts w:ascii="Times New Roman;Times;serif" w:hAnsi="Times New Roman;Times;serif"/>
                <w:color w:val="000000"/>
                <w:sz w:val="20"/>
              </w:rPr>
              <w:t xml:space="preserve">prior to the Annual Meeting, go to www.proxyvote.com and follow the instructions to submit your vote on an electronic proxy card. You will be asked to provide the Company number and Control Number from your proxy card or Notice of Internet Availability of Proxy Materials. Your internet vote must be received by 11:59 p.m. Eastern Time on Tuesday, June 16, 2026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w:t>
            </w:r>
            <w:r>
              <w:rPr>
                <w:rFonts w:ascii="Times New Roman;Times;serif" w:hAnsi="Times New Roman;Times;serif"/>
                <w:b/>
                <w:color w:val="000000"/>
                <w:sz w:val="20"/>
              </w:rPr>
              <w:t>telephone</w:t>
            </w:r>
            <w:r>
              <w:rPr>
                <w:rFonts w:ascii="Times New Roman;Times;serif" w:hAnsi="Times New Roman;Times;serif"/>
                <w:color w:val="000000"/>
                <w:sz w:val="20"/>
              </w:rPr>
              <w:t xml:space="preserve">, dial toll-free 1-800-690-6903 using a touch-tone phone and follow the recorded instructions. You will be asked to provide the Company number and Control Number from your proxy card or Notice of Internet Availability of Proxy Materials. Your telephone vote must be received by 11:59 p.m. Eastern Time on Tuesday, June 16, 2026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using a </w:t>
            </w:r>
            <w:r>
              <w:rPr>
                <w:rFonts w:ascii="Times New Roman;Times;serif" w:hAnsi="Times New Roman;Times;serif"/>
                <w:b/>
                <w:color w:val="000000"/>
                <w:sz w:val="20"/>
              </w:rPr>
              <w:t>proxy card</w:t>
            </w:r>
            <w:r>
              <w:rPr>
                <w:rFonts w:ascii="Times New Roman;Times;serif" w:hAnsi="Times New Roman;Times;serif"/>
                <w:color w:val="000000"/>
                <w:sz w:val="20"/>
              </w:rPr>
              <w:t xml:space="preserve">, simply complete, sign and date the proxy card and return it promptly to the Company. If you return your signed proxy card to us before the Annual Meeting, we will vote your shares as you direct. You should mail your signed proxy card sufficiently in advance for it to be received by Tuesday, June 16, 2026. </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MaxCyte. Simply complete and mail the voting instruction form to ensure that your vote is counted. Alternatively, you may vote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71620x1_def14a_104-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telephone or on the internet as instructed by your broker or bank. To vote at the Annual Meeting, you may be required to obtain a valid proxy from your broker, bank, or other agent. Follow the instructions from your broker, bank, or other agent included with these proxy materials, or contact that organization to request a proxy form.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Holder of CDIs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CDIs, you may vote your interests in the underlying common stock by submitting a form of proxy to Computershare Investor Services PLC. To be effective, the form of proxy must be lodged with Computershare Investor Services PLC at The Pavilions, Bridgwater Road, Bristol BS99 6ZY by 10:00 a.m. (UK time) on June 12,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Proxies may also be submitted via the CREST system. To appoint one or more proxies or to give an instruction to a proxy (whether previously appointed or otherwise) via the CREST system, CREST messages must be received by the issuer’s agent (ID number 3RA50) not later than 10:00 a.m. (UK time) on June 12, 2026. For this purpose, the time of receipt will be taken to be the time (as determined by the timestamp generated by the CREST system) from which the issuer’s agent is able to retrieve the message. The Company may treat as invalid a proxy appointment sent by CREST in the circumstances set out in Regulation 35(5)(a) of the Uncertificated Securities Regulations 2001.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CDIs are not entitled to attend the Annual Meeting in person.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owned as of April 21, 2026, which is the record date for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on the internet or in person at the Annual Meeting, your shares will not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the election of all three nominees for director (Proposal 1) and “For” the ratification of CohnReznick LLP as the independent registered public accounting firm for the fiscal year ending December 31, 2026 (Proposal 2). If any other matter is properly presented at the meeting, your proxyholder (one of the individuals named on your proxy card) will vote your shares using his or her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and what is a “broker non-vote”?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In this regard, under applicable rules, brokers, banks and other securities intermediaries may use their discretion to vote your “uninstructed” shares with respect to matters considered to be “routine” under such rules, but not with respect to “non-routine” matters. Proposal 1 is considered to be “non-routine” under such rules, meaning that your broker may not vote your shares on these proposals in the absence of your voting instructions. However, Proposal 2 is considered to be “routine” under such rules, meaning that if you do not return voting instructions to your broker by its deadline, your shares may be voted by your broker in its discretion on Proposal 2 and a “broker non-vote” will occur as to Proposal 1. Broker non-votes will have no impact on the voting results. Because Proposal 2 is considered “routine,” there will not be any broker non-votes on this proposal.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you are a beneficial owner of shares held in street name, and you do not plan to attend the Annual Meeting, in order to ensure your shares are voted in the way you would prefer, you </w:t>
      </w:r>
      <w:r>
        <w:rPr>
          <w:rFonts w:ascii="Times New Roman;Times;serif" w:hAnsi="Times New Roman;Times;serif"/>
          <w:b/>
          <w:i/>
          <w:color w:val="000000"/>
          <w:sz w:val="20"/>
          <w:u w:val="single"/>
        </w:rPr>
        <w:t>must</w:t>
      </w:r>
      <w:r>
        <w:rPr>
          <w:rFonts w:ascii="Times New Roman;Times;serif" w:hAnsi="Times New Roman;Times;serif"/>
          <w:b/>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71620x1_def14a_104-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or Notices of Internet Availability of Proxy Materials in the proxy materials to ensure that all of your shares are voted.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Annual Meeting. If you are the record holder of your shares, you may revoke your proxy in any one of the following ways: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on the internet.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MaxCyte’s Corporate Secretary at 9713 Key West Avenue, Suite 400, Rockville, Maryland 20850.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in person. Simply attending the Annual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that organization.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Holder of CDIs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Holders of CDIs can change their vote by submitting another properly completed form of proxy with a later date to Computershare Investor Services PLC to be received by 10:00 a.m. (UK time) on June 12,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CDIs who wish to amend an instruction given via the CREST system can do so provided that the message is received by the issuer’s agent (ID number 3RA50) not later than 10:00 a.m. (UK time) on June 12, 2026. For this purpose, the time of receipt will be taken to be the time (as determined by the timestamp generated by the CREST system) from which the issuer’s agent is able to retrieve the message.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and director nominations due for next year’s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stockholder proposal to be considered for inclusion in next year’s proxy materials, your proposal must be submitted in writing by December 30, 2026, to our Corporate Secretary at 9713 Key West Avenue, Suite 400, Rockville, Maryland 20850, and must otherwise comply with the requirements set forth in Rule 14a-8 under the Securities and Exchange Act of 1934, as amended (the “</w:t>
      </w:r>
      <w:r>
        <w:rPr>
          <w:rFonts w:ascii="Times New Roman;Times;serif" w:hAnsi="Times New Roman;Times;serif"/>
          <w:b/>
          <w:i/>
          <w:color w:val="000000"/>
          <w:sz w:val="20"/>
        </w:rPr>
        <w:t>Exchange Act</w:t>
      </w:r>
      <w:r>
        <w:rPr>
          <w:rFonts w:ascii="Times New Roman;Times;serif" w:hAnsi="Times New Roman;Times;serif"/>
          <w:color w:val="000000"/>
          <w:sz w:val="20"/>
        </w:rPr>
        <w:t>”). If you wish to nominate an individual for election at, or bring business other than through a stockholder proposal before, the 2027 Annual Meeting of Stockholders, you must deliver your notice to our Corporate Secretary at the address above between February 17, 2027 and March 19, 2027. Your notice to the Corporate Secretary must set forth information specified in our Amended and Restated Bylaws (the “</w:t>
      </w:r>
      <w:r>
        <w:rPr>
          <w:rFonts w:ascii="Times New Roman;Times;serif" w:hAnsi="Times New Roman;Times;serif"/>
          <w:b/>
          <w:i/>
          <w:color w:val="000000"/>
          <w:sz w:val="20"/>
        </w:rPr>
        <w:t>Bylaws</w:t>
      </w:r>
      <w:r>
        <w:rPr>
          <w:rFonts w:ascii="Times New Roman;Times;serif" w:hAnsi="Times New Roman;Times;serif"/>
          <w:color w:val="000000"/>
          <w:sz w:val="20"/>
        </w:rPr>
        <w:t xml:space="preserve">”). In addition, stockholders who intend to solicit proxies in support of director nominees other than our Board’s nominees must also comply with the additional requirements of Rule 14a-19(b) under the Exchange Act and provide the applicable notice by April 20, 2027. Your notice to the Corporate Secretary must set forth information specified in our Bylaws, including, without limitation, your name and address and the number of shares of our stock that you beneficially own.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and for more detailed requirements, please refer to our Bylaws, filed as an exhibit to our most recent Annual Report on Form 10-K filed with the Securities and Exchange Commission (the “</w:t>
      </w:r>
      <w:r>
        <w:rPr>
          <w:rFonts w:ascii="Times New Roman;Times;serif" w:hAnsi="Times New Roman;Times;serif"/>
          <w:b/>
          <w:i/>
          <w:color w:val="000000"/>
          <w:sz w:val="20"/>
        </w:rPr>
        <w:t>SEC</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meeting, who will be from American Election Services, LLC.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71620x1_def14a_104-qa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election of directors (Proposal 1), the three nominees receiving the most “For” votes from the holders of shares present in person or represented by proxy and entitled to vote on the election of directors will be elected. Only votes “For” will affect the outcome.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be approved, Proposal 2 (ratification of the selection of CohnReznick LLP as the Company’s independent registered public accounting firm for the fiscal year ending December 31, 2026) must receive “For” votes from the holders of a majority of shares present in person or represented by proxy and entitled to vote on the matter. If you mark your proxy to “Abstain” from voting, it will have the same effect as an “Against” vote. Since brokers have authority to vote on your behalf with respect to Proposal 2, there will not be any broker non-votes on this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are present at the meeting or represented by proxy. On the record date, there were 107,121,672 shares outstanding and entitled to vote. Thus, the holders of 53,560,837 shares must be present in person or represented by proxy at the Annual Meeting to have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at the Annual Meeting. Abstentions and broker non-votes will be counted towards the quorum requirement. If there is no quorum, either the chairperson of the Annual Meeting or the holders of a majority of shares present at the Annual Meeting or represented by proxy may adjourn the Annual Meeting to another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Annual Meeting. In addition, final voting results will be published in a Current Report on Form 8-K that we expect to file within four business days after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and annual report to stockholders are available at www.proxyvote.com.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71620x1_def14a_105-prop1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PROP1"/>
      <w:bookmarkEnd w:id="17"/>
      <w:r>
        <w:rPr>
          <w:rFonts w:ascii="Times New Roman;Times;serif" w:hAnsi="Times New Roman;Times;serif"/>
          <w:b/>
          <w:color w:val="000000"/>
          <w:sz w:val="20"/>
        </w:rPr>
        <w:t>PROPOSAL 1</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MaxCyte’s Board is divided into three classes. Each class has a three-year term. The Board presently has nine members. There are three directors in Class II whose term of office expires in 2026. Each of the three nominees listed below is currently a director of the Company. Mr. Balthrop and Mr. Erck were previously elected by stockholders. Ms. Collins is standing for election by our stockholders for the first time and was first identified as a candidate for the Board by an executive officer. If elected at the Annual Meeting, each of these three nominees would serve until the 2029 annual meeting and until his or her successor has been duly elected and qualified, or, if sooner, until the director’s death, resignation,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are elected by a plurality of the votes of the holders of shares present in person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Board. Each person nominated for election has agreed to serve if elected. The Company’s management has no reason to believe that any nominee will be unable to 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is a brief biography of each nominee for director and each director whose term will continue after the Annual Meeting, including a discussion of the specific experience, qualifications, attributes, or skills of each nominee and continuing director that led the Nominating and Corporate Governance Committee of our Board (the “</w:t>
      </w:r>
      <w:r>
        <w:rPr>
          <w:rFonts w:ascii="Times New Roman;Times;serif" w:hAnsi="Times New Roman;Times;serif"/>
          <w:b/>
          <w:i/>
          <w:color w:val="000000"/>
          <w:sz w:val="20"/>
        </w:rPr>
        <w:t>N&amp;CG Committee</w:t>
      </w:r>
      <w:r>
        <w:rPr>
          <w:rFonts w:ascii="Times New Roman;Times;serif" w:hAnsi="Times New Roman;Times;serif"/>
          <w:color w:val="000000"/>
          <w:sz w:val="20"/>
        </w:rPr>
        <w:t xml:space="preserve">”) to recommend that person as a nominee for director or that describes the reasons as to why the Company believes that the director should continue to serve on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seeks to assemble a board that, as a whole, possesses the appropriate balance of professional and industry knowledge, financial expertise, and high-level management experience necessary to oversee and direct the Company’s business. To that end, the N&amp;CG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N&amp;CG Committee views as critical to effective functioning of the Board. To provide a mix of experience and perspective on the Board, the N&amp;CG Committee may also take into account gender, age and ethnic diversity.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Election for a Three-Year Term Expiring at the 2029 Annual Meeting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Patrick J. Balthrop</w:t>
      </w:r>
      <w:r>
        <w:rPr>
          <w:rFonts w:ascii="Times New Roman;Times;serif" w:hAnsi="Times New Roman;Times;serif"/>
          <w:b w:val="false"/>
          <w:i/>
          <w:color w:val="000000"/>
          <w:sz w:val="20"/>
        </w:rPr>
        <w:t>, age 69</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Patrick Balthrop has served on our Board since 2022. Mr. Balthrop has more than three decades of experience in the healthcare sector, particularly in diagnostics, life science tools and medical devices. From 2004 until his retirement in 2014, Mr. Balthrop was President, Chief Executive Officer and a director of Luminex Corporation, a publicly held life science tools and molecular diagnostics company. From 2002 to 2004, he served as president of Fisher Healthcare, now a division of Thermo Fisher Scientific, Inc. He previously served for more than 20 years in roles of increasing responsibility with Abbott Laboratories, including as head of Abbott Vascular and Corporate VP of Worldwide Operations for Abbott Diagnostics. He currently serves as chairman of the board of the privately held life sciences companies Agendia, Inc. and Discovery Life Sciences, as director of the privately held contract research and manufacturing company Ascential Technologies, and as director of the privately held life sciences company Pattern Biosciences. Within the past five years, he served as a director of the publicly held diagnostics company Oxford Immunotec Global PLC, including as its chairman from June 2019 until March 2021. He also served as a member of the board of directors of Personalis, Inc., a publicly held cancer genomics company, from 2015 until March 2021. In 2015, Mr. Balthrop founded and has since served as Principal of Apalachee Ventures, LLC (“</w:t>
      </w:r>
      <w:r>
        <w:rPr>
          <w:rFonts w:ascii="Times New Roman;Times;serif" w:hAnsi="Times New Roman;Times;serif"/>
          <w:b/>
          <w:i/>
          <w:color w:val="000000"/>
          <w:sz w:val="20"/>
        </w:rPr>
        <w:t>Apalachee</w:t>
      </w:r>
      <w:r>
        <w:rPr>
          <w:rFonts w:ascii="Times New Roman;Times;serif" w:hAnsi="Times New Roman;Times;serif"/>
          <w:color w:val="000000"/>
          <w:sz w:val="20"/>
        </w:rPr>
        <w:t xml:space="preserve">”), an investment and advisory firm. He also serves as executive adviser to Water Street Healthcare Partners, a healthcare-focused private equity firm, AEA Investors, a US private equity firm, and as a partner at Conquer AI, a UK-based agentic AI company. Mr. Balthrop holds a B.S. in Biology from Spring Hill College and an M.B.A. from the Kellogg School of Management at Northwestern University. Our Board believes Mr. Balthrop’s public company board experience and extensive knowledge and experience in the biotechnology industry qualify him to serve as a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8" w:name="ny20071620x1_def14a_105-prop1_pg2"/>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Cynthia Collins</w:t>
      </w:r>
      <w:r>
        <w:rPr>
          <w:rFonts w:ascii="Times New Roman;Times;serif" w:hAnsi="Times New Roman;Times;serif"/>
          <w:b w:val="false"/>
          <w:i/>
          <w:color w:val="000000"/>
          <w:sz w:val="20"/>
        </w:rPr>
        <w:t>, age 68</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Cynthia Collins has served on our Board since October 2024. Ms. Collins recently served as Executive Chair and interim CEO of Nutcracker Therapeutics, a contract research, development, and manufacturing organization with a next-generation RNA precision manufacturing platform from February 2025 until November 2025. Previously, she held the role of Chief Executive Officer at Editas Medicine, Inc., a clinical-stage gene editing company, from February 2019 to February 2021, Chief Executive Officer at Human Longevity, Inc., a precision medicine company, from January 2017 to December 2017, Chief Executive Officer/General Manager of General Electric Healthcare’s Cell Therapy and Lab Businesses and General Electric Healthcare’s Clarient Diagnostics from October 2013 to December 2016. She also previously served as Chief Executive Officer of GenVec, a vaccine and gene therapy company, and held various positions at Baxter Healthcare and Abbott Laboratories. Currently, Ms. Collins serves as a member of the board of directors of several healthcare companies, including Codexis, Inc., Alanis Therapeutics, Certara, and Draper Laboratories. Within the past five years, she served as a director of Panavance Therapeutics, Poseida Therapeutics, Inc., Nutcracker Therapeutics, DermTech, Editas Medicine, Inc., Biocare Medical and Triumvira Immunologics. She is also currently a board member of the Alliance for mRNA Medicines. Ms. Collins received a Bachelor of Science in microbiology from the University of Illinois Urbana-Champaign and an MBA from the University of Chicago Booth School of Business. Our Board believes Ms. Collins’ extensive and impressive leadership experience in the fields of cell therapy and genetic medicine qualify her to serve as a director. </w:t>
      </w:r>
    </w:p>
    <w:p>
      <w:pPr>
        <w:pStyle w:val="TextBody"/>
        <w:bidi w:val="0"/>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Stanley C. Erck</w:t>
      </w:r>
      <w:r>
        <w:rPr>
          <w:rFonts w:ascii="Times New Roman;Times;serif" w:hAnsi="Times New Roman;Times;serif"/>
          <w:b w:val="false"/>
          <w:i/>
          <w:color w:val="000000"/>
          <w:sz w:val="20"/>
        </w:rPr>
        <w:t>, age 78</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Stanley Erck has served on our Board since 2005. Mr. Erck served as president and chief executive officer of Novavax, Inc., a biotechnology company that develops vaccines to counter serious infectious diseases, from 2011, and as a director of Novavax from 2009, until his retirement from these positions in January 2023. Mr. Erck previously served as executive chairman of Novavax from 2010 to 2011 and interim chief financial officer from 2017 to 2018. From 2000 to 2008, Mr. Erck served as president and chief executive officer of Iomai Corporation, a developer of vaccines and immune system therapies, which was acquired in 2008 by Intercell AG. He also previously held leadership positions at Procept, a publicly traded immunology company, Integrated Genetics, now Sanofi Genzyme and Baxter International. Mr. Erck received a B.S. in economics from the University of Illinois and an M.B.A. from the University of Chicago. During his tenure as chief executive officer of Novavax, Mr. Erck led the company from preclinical development through global commercialization with first year revenues of over $2 billion. Our Board believes Mr. Erck’s public company board experience and extensive knowledge and experience in the biotechnology industry qualify him to serve as a director.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IN FAVOR OF EACH NAMED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9" w:name="ny20071620x1_def14a_105-prop1_pg3"/>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Continuing in Office Until the 2027 Annual Meeting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Richard Douglas</w:t>
      </w:r>
      <w:r>
        <w:rPr>
          <w:rFonts w:ascii="Times New Roman;Times;serif" w:hAnsi="Times New Roman;Times;serif"/>
          <w:b w:val="false"/>
          <w:i/>
          <w:color w:val="000000"/>
          <w:sz w:val="20"/>
        </w:rPr>
        <w:t>, PhD, age 73</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Richard Douglas has served on our Board since 2018 and as our Non-Executive Chairman since October 2021. Dr. Douglas served as the senior vice president of corporate development of Genzyme Corporation where he worked from 1989 until 2011 when Genzyme was acquired by Sanofi. Prior to joining Genzyme, Dr. Douglas served in science and corporate development capacities at Integrated Genetics prior to its acquisition by Genzyme in 1989. Since 2011, Dr. Douglas has served as an adviser to RedSky Partners, a biotechnology-focused advisory firm, and also as executive director of Labyrinth Choir, Inc. He is chairman of the board of directors of the publicly held company Aldeyra Therapeutics, Inc., which he joined in 2016, and has been a board member of Novavax, Inc. since 2010. He has a B.S. in chemistry from the University of Michigan, where he now serves on the Innovation Partnerships National Advisory Board, and a Ph.D. in biochemistry from the University of California, Berkeley. Our Board believes that Dr. Douglas’s significant business experience and scientific background qualify him to serve as a director.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Will Brooke</w:t>
      </w:r>
      <w:r>
        <w:rPr>
          <w:rFonts w:ascii="Times New Roman;Times;serif" w:hAnsi="Times New Roman;Times;serif"/>
          <w:b w:val="false"/>
          <w:i/>
          <w:color w:val="000000"/>
          <w:sz w:val="20"/>
        </w:rPr>
        <w:t>, age 70</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Will Brooke has served on our Board since 2004. Mr. Brooke retired from Harbert Management Corporation (“</w:t>
      </w:r>
      <w:r>
        <w:rPr>
          <w:rFonts w:ascii="Times New Roman;Times;serif" w:hAnsi="Times New Roman;Times;serif"/>
          <w:b/>
          <w:i/>
          <w:color w:val="000000"/>
          <w:sz w:val="20"/>
        </w:rPr>
        <w:t>HMC</w:t>
      </w:r>
      <w:r>
        <w:rPr>
          <w:rFonts w:ascii="Times New Roman;Times;serif" w:hAnsi="Times New Roman;Times;serif"/>
          <w:color w:val="000000"/>
          <w:sz w:val="20"/>
        </w:rPr>
        <w:t xml:space="preserve">”), a U.S. investment management company, in December 2021, having served in various capacities since co-founding HMC in 1993. He most recently served as Executive Vice President and Limited Partner prior to his retirement from HMC and also served as Managing Partner of HMC’s venture capital funds family from 2003 to 2014. Mr. Brooke has been advising and investing in early-stage and growth companies for more than 30 years, and previously served on the boards of numerous pharmaceutical and medical equipment companies such as nContact, Inc., NovaMin Technology, Inc. and Emageon Corporation. Since December 2018 he has also served as a board member of KPX, LLC, an environmental, social and governance advisory firm serving the investment and advisory sectors. Prior to joining HMC, Mr. Brooke practiced law for a decade. Mr. Brooke received a B.S. in Business Management and a J.D. from the University of Alabama. Our Board believes Mr. Brooke’s extensive business experience and deep financial knowledge qualify him to serve as a director.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John Johnston</w:t>
      </w:r>
      <w:r>
        <w:rPr>
          <w:rFonts w:ascii="Times New Roman;Times;serif" w:hAnsi="Times New Roman;Times;serif"/>
          <w:b w:val="false"/>
          <w:i/>
          <w:color w:val="000000"/>
          <w:sz w:val="20"/>
        </w:rPr>
        <w:t>, age 67</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John Johnston has served on our Board since 2016. From 2011 until his retirement from his financial career in 2013, Mr. Johnston served as managing director of institutional sales at Nomura Code Securities Ltd, a brokerage company, and from 2008 to 2011, he was director of sales and trading at the investment bank Seymour Pierce. In 2003, Mr. Johnston founded Revera Asset Management, where he oversaw an investment trust, a unit trust and a hedge fund, which he ran until 2007. Mr. Johnston began his investment career at the Royal Bank of Scotland and previously held positions at investment firms Legg Mason Investors and Murray Johnstone. Within the past five years, Mr. Johnston served as a non-executive director of the publicly held company Midatech Pharma plc (now Biodexa Pharmaceuticals plc). Mr. Johnston received his B.A. in commerce from Abertay University and his M.B.A. from the University of Dundee. Our Board believes Mr. Johnston’s executive leadership and operational experience qualify him to serve as a director.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Continuing in Office Until the 2028 Annual Meeting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Maher Masoud</w:t>
      </w:r>
      <w:r>
        <w:rPr>
          <w:rFonts w:ascii="Times New Roman;Times;serif" w:hAnsi="Times New Roman;Times;serif"/>
          <w:b w:val="false"/>
          <w:i/>
          <w:color w:val="000000"/>
          <w:sz w:val="20"/>
        </w:rPr>
        <w:t>, age 51</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Maher Masoud was named President and Chief Executive Officer of MaxCyte in January 2024. He brings more than 25 years of experience in the biopharmaceutical industry, most recently through his service as Executive Vice President, Head of Global Business Development and Chief Counsel at MaxCyte from January 2020 to January 2024. He also served as MaxCyte’s Vice President of Legal from 2017 to January 2020 and as our Corporate Secretary from July 2021 to December 2023. Mr. Masoud started his biopharmaceutical career as a research associate at Glen Research, a Maravai company, before joining Human Genome Sciences as a director and Corporate Counsel, overseeing legal activities for the company’s global clinical trials, until its acquisition by GlaxoSmithKline in August 2012. Prior to joining MaxCyte, he oversaw the operations of six business subsidiaries at Wellstat, a life science holding company. During his tenure at Human Genome Sciences and Wellstat, Mr. Masoud supported the launch of three therapies approved by the U.S. Food and Drug Administration, Benlysta</w:t>
      </w:r>
      <w:r>
        <w:rPr>
          <w:rFonts w:ascii="Times New Roman;Times;serif" w:hAnsi="Times New Roman;Times;serif"/>
          <w:color w:val="000000"/>
          <w:position w:val="7"/>
          <w:sz w:val="16"/>
          <w:sz w:val="20"/>
        </w:rPr>
        <w:t>®</w:t>
      </w:r>
      <w:r>
        <w:rPr>
          <w:rFonts w:ascii="Times New Roman;Times;serif" w:hAnsi="Times New Roman;Times;serif"/>
          <w:color w:val="000000"/>
          <w:sz w:val="20"/>
        </w:rPr>
        <w:t>, Vistogard</w:t>
      </w:r>
      <w:r>
        <w:rPr>
          <w:rFonts w:ascii="Times New Roman;Times;serif" w:hAnsi="Times New Roman;Times;serif"/>
          <w:color w:val="000000"/>
          <w:position w:val="7"/>
          <w:sz w:val="16"/>
          <w:sz w:val="20"/>
        </w:rPr>
        <w:t>®</w:t>
      </w:r>
      <w:r>
        <w:rPr>
          <w:rFonts w:ascii="Times New Roman;Times;serif" w:hAnsi="Times New Roman;Times;serif"/>
          <w:color w:val="000000"/>
          <w:sz w:val="20"/>
        </w:rPr>
        <w:t xml:space="preserve"> and Xuriden</w:t>
      </w:r>
      <w:r>
        <w:rPr>
          <w:rFonts w:ascii="Times New Roman;Times;serif" w:hAnsi="Times New Roman;Times;serif"/>
          <w:color w:val="000000"/>
          <w:position w:val="7"/>
          <w:sz w:val="16"/>
          <w:sz w:val="20"/>
        </w:rPr>
        <w:t>®</w:t>
      </w:r>
      <w:r>
        <w:rPr>
          <w:rFonts w:ascii="Times New Roman;Times;serif" w:hAnsi="Times New Roman;Times;serif"/>
          <w:color w:val="000000"/>
          <w:sz w:val="20"/>
        </w:rPr>
        <w:t xml:space="preserve">. Mr. Masoud earned his Juris Doctor degree from Michigan State University College of Law after completing his Bachelor of Science degree in cell and molecular biology and genetics at the University of Maryland. Our Board believes that Mr. Masoud’s extensive experience in the life sciences industry and perspective as our President and Chief Executive Officer qualifies him to serve as a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0" w:name="ny20071620x1_def14a_105-prop1_pg4"/>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Yasir Al-Wakeel, BM BCh</w:t>
      </w:r>
      <w:r>
        <w:rPr>
          <w:rFonts w:ascii="Times New Roman;Times;serif" w:hAnsi="Times New Roman;Times;serif"/>
          <w:b w:val="false"/>
          <w:i/>
          <w:color w:val="000000"/>
          <w:sz w:val="20"/>
        </w:rPr>
        <w:t>, age 44</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Yasir Al-Wakeel has served on our Board since 2021. Dr. Al-Wakeel has served as the CEO of Vesalius Therapeutics and CEO Partner at Flagship Pioneering, since September 2025. Dr. Al-Wakeel previously served as Chief Executive Officer of Addition Therapeutics, a developer of RNA-only therapeutics, from September 2023 to September 2024. Dr. Al-Wakeel previously served as Chief Financial Officer and Head of Corporate Development of Kronos Bio, Inc., a clinical-stage biopharmaceutical company developing therapeutics that target the dysregulated transcription that causes cancer, from August 2020 to September 2023. Dr. Al-Wakeel previously served as the Chief Financial Officer of Neon Therapeutics, Inc., a biotechnology company developing novel neoantigen-based T-cell therapies, from 2017 to May 2020. Previously, Dr. Al-Wakeel served as the Chief Financial Officer and Head of Corporate Development at Merrimack Pharmaceuticals, Inc. from 2015 until 2017. Dr. Al-Wakeel previously served in various capacities at Credit Suisse, an investment banking firm, from 2008 to 2015. While at Credit Suisse, Dr. Al-Wakeel was Director of Healthcare Investment Banking, focused on biotechnology, and, prior to joining Credit Suisse, Dr. Al-Wakeel was a practicing physician, holding both clinical and academic medical posts. Dr. Al-Wakeel currently serves as a director of the publicly held company Vicore Pharma AB as well as a director of the privately held company Vesalius Therapeutics. Dr. Al-Wakeel received his BM BCh (Doctor of Medicine and Surgery) from Oxford University and his M.A. in theology from Cambridge University. Our Board believes that Dr. Al-Wakeel’s significant scientific and finance background qualifies him to serve as a director. </w:t>
      </w:r>
    </w:p>
    <w:p>
      <w:pPr>
        <w:pStyle w:val="TextBody"/>
        <w:bidi w:val="0"/>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Rekha Hemrajani</w:t>
      </w:r>
      <w:r>
        <w:rPr>
          <w:rFonts w:ascii="Times New Roman;Times;serif" w:hAnsi="Times New Roman;Times;serif"/>
          <w:b w:val="false"/>
          <w:i/>
          <w:color w:val="000000"/>
          <w:sz w:val="20"/>
        </w:rPr>
        <w:t>, age 56</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Rekha Hemrajani has served as a member of our Board since 2021. Ms. Hemrajani has served as a member of the board of directors of several public companies such as ALX Oncology Holdings Inc. since April 2020, BioAge Labs since August of 2021 and LB Pharma since September of 2025. Ms. Hemrajani served as Chief Executive Officer and Director of Jiya Acquisition Corporation from August 2020 to November 2022. She previously served as President, Chief Executive Officer &amp; Director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RAPT Therapeutics, Inc., a biotechnology company (later acquired by Glaxo SmithKline). From February 2015 to March 2016, Ms. Hemrajani served as Chief Financial Officer at Sagimet Biosciences, Inc., a biotechnology company. She previously served as a director of Adverum Biotechnologies, Inc., Aravive, Inc. and Jiya Acquisition Corp., Vice President, Head of Licensing and M&amp;A at Onyx Pharmaceuticals (acquired by Amgen), in business development roles at Exelixis, Inc. and in healthcare investment banking at Credit Suisse First Boston and Lehman Brothers where she advised companies on capital raising, and mergers and acquisitions. Ms. Hemrajani holds a B.S. in Economics and Computer Science from the University of Michigan and an M.B.A. from the Kellogg Graduate School of Management at Northwestern University. Our Board believes Ms. Hemrajani is qualified to serve as a director due to her executive and financial experience at multiple companies in the biopharmaceutical and biotechnology industries.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Diversity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Diversity Matrix below provides certain self-identified personal demographic characteristics of our directors.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Diversity Matrix </w:t>
      </w:r>
    </w:p>
    <w:tbl>
      <w:tblPr>
        <w:tblW w:w="4070" w:type="dxa"/>
        <w:jc w:val="left"/>
        <w:tblInd w:w="0" w:type="dxa"/>
        <w:tblLayout w:type="fixed"/>
        <w:tblCellMar>
          <w:top w:w="0" w:type="dxa"/>
          <w:left w:w="0" w:type="dxa"/>
          <w:bottom w:w="0" w:type="dxa"/>
          <w:right w:w="0" w:type="dxa"/>
        </w:tblCellMar>
      </w:tblPr>
      <w:tblGrid>
        <w:gridCol w:w="2315"/>
        <w:gridCol w:w="170"/>
        <w:gridCol w:w="170"/>
        <w:gridCol w:w="575"/>
        <w:gridCol w:w="170"/>
        <w:gridCol w:w="170"/>
        <w:gridCol w:w="500"/>
      </w:tblGrid>
      <w:tr>
        <w:trPr/>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gridSpan w:val="4"/>
            <w:tcBorders/>
            <w:vAlign w:val="center"/>
          </w:tcPr>
          <w:p>
            <w:pPr>
              <w:pStyle w:val="TableContents"/>
              <w:bidi w:val="0"/>
              <w:spacing w:before="0" w:after="0"/>
              <w:jc w:val="left"/>
              <w:rPr/>
            </w:pPr>
            <w:r>
              <w:rPr/>
              <w:t> </w:t>
            </w:r>
          </w:p>
        </w:tc>
      </w:tr>
      <w:tr>
        <w:trPr/>
        <w:tc>
          <w:tcPr>
            <w:tcW w:w="23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Number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9 </w:t>
            </w:r>
          </w:p>
        </w:tc>
      </w:tr>
      <w:tr>
        <w:trPr/>
        <w:tc>
          <w:tcPr>
            <w:tcW w:w="23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Male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Gender Identity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Totals</w:t>
            </w:r>
            <w:r>
              <w:rPr>
                <w:rFonts w:ascii="Times New Roman;Times;serif" w:hAnsi="Times New Roman;Times;serif"/>
                <w:i/>
                <w:caps w:val="false"/>
                <w:smallCaps w:val="false"/>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Demographic Background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Asian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color w:val="000000"/>
              </w:rPr>
            </w:pPr>
            <w:r>
              <w:rPr>
                <w:color w:val="000000"/>
              </w:rPr>
              <w:t xml:space="preserve">— </w:t>
            </w:r>
          </w:p>
        </w:tc>
      </w:tr>
      <w:tr>
        <w:trPr/>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Middle Eastern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r>
      <w:tr>
        <w:trPr/>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1" w:name="ny20071620x1_def14a_106-info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IR"/>
      <w:bookmarkEnd w:id="22"/>
      <w:r>
        <w:rPr>
          <w:rFonts w:ascii="Times New Roman;Times;serif" w:hAnsi="Times New Roman;Times;serif"/>
          <w:b/>
          <w:color w:val="000000"/>
          <w:sz w:val="20"/>
        </w:rPr>
        <w:t xml:space="preserve">INFORMATION REGARDING THE BOARD OF DIRECTORS AND CORPORATE GOVERNANCE </w:t>
      </w:r>
    </w:p>
    <w:p>
      <w:pPr>
        <w:pStyle w:val="TextBody"/>
        <w:bidi w:val="0"/>
        <w:spacing w:before="320" w:after="283"/>
        <w:ind w:left="0" w:right="0" w:hanging="0"/>
        <w:jc w:val="left"/>
        <w:rPr>
          <w:rFonts w:ascii="Times New Roman;Times;serif" w:hAnsi="Times New Roman;Times;serif"/>
          <w:b/>
          <w:color w:val="000000"/>
          <w:sz w:val="20"/>
        </w:rPr>
      </w:pPr>
      <w:bookmarkStart w:id="23" w:name="tIR1"/>
      <w:bookmarkEnd w:id="23"/>
      <w:r>
        <w:rPr>
          <w:rFonts w:ascii="Times New Roman;Times;serif" w:hAnsi="Times New Roman;Times;serif"/>
          <w:b/>
          <w:color w:val="000000"/>
          <w:sz w:val="20"/>
        </w:rPr>
        <w:t xml:space="preserve">Independence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required under The Nasdaq Stock Market, LLC (“</w:t>
      </w:r>
      <w:r>
        <w:rPr>
          <w:rFonts w:ascii="Times New Roman;Times;serif" w:hAnsi="Times New Roman;Times;serif"/>
          <w:b/>
          <w:i/>
          <w:color w:val="000000"/>
          <w:sz w:val="20"/>
        </w:rPr>
        <w:t>Nasdaq</w:t>
      </w:r>
      <w:r>
        <w:rPr>
          <w:rFonts w:ascii="Times New Roman;Times;serif" w:hAnsi="Times New Roman;Times;serif"/>
          <w:color w:val="000000"/>
          <w:sz w:val="20"/>
        </w:rPr>
        <w:t xml:space="preserve">”) listing standards, a majority of the members of a listed company’s board of directors must qualify as “independent,” as affirmatively determined by the board of directors. The Board consults with the Company’s legal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eight directors are independent directors within the meaning of the applicable Nasdaq listing standards: Dr. Al-Wakeel, Mr. Brooke, Dr. Douglas, Ms. Hemrajani, Mr. Erck, Mr. Johnston, Mr. Balthrop and Ms. Collins. In making this determination, the Board found that none of these directors or nominees for director had a material or other disqualifying relationship with the Company. </w:t>
      </w:r>
    </w:p>
    <w:p>
      <w:pPr>
        <w:pStyle w:val="TextBody"/>
        <w:bidi w:val="0"/>
        <w:spacing w:before="340" w:after="283"/>
        <w:ind w:left="0" w:right="0" w:hanging="0"/>
        <w:jc w:val="left"/>
        <w:rPr>
          <w:rFonts w:ascii="Times New Roman;Times;serif" w:hAnsi="Times New Roman;Times;serif"/>
          <w:b/>
          <w:color w:val="000000"/>
          <w:sz w:val="20"/>
        </w:rPr>
      </w:pPr>
      <w:bookmarkStart w:id="24" w:name="tIR2"/>
      <w:bookmarkEnd w:id="24"/>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an independent chairman, Dr. Douglas, who has authority, among other things, to call and preside over Board meetings, including meetings of the independent directors, to set meeting agendas, and to determine materials to be distributed to the Board. Accordingly, the Chairman has substantial ability to shape the work of the Board. The Company believes that separation of the positions of Chairman and Chief Executive Officer reinforces the independence of the Board in its oversight of the business and affairs of the Company. In addition, the Company believes that having an independent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Chairman can enhance the effectiveness of the Board as a whole. </w:t>
      </w:r>
    </w:p>
    <w:p>
      <w:pPr>
        <w:pStyle w:val="TextBody"/>
        <w:bidi w:val="0"/>
        <w:spacing w:before="340" w:after="283"/>
        <w:ind w:left="0" w:right="0" w:hanging="0"/>
        <w:jc w:val="left"/>
        <w:rPr>
          <w:rFonts w:ascii="Times New Roman;Times;serif" w:hAnsi="Times New Roman;Times;serif"/>
          <w:b/>
          <w:color w:val="000000"/>
          <w:sz w:val="20"/>
        </w:rPr>
      </w:pPr>
      <w:bookmarkStart w:id="25" w:name="tIR3"/>
      <w:bookmarkEnd w:id="25"/>
      <w:r>
        <w:rPr>
          <w:rFonts w:ascii="Times New Roman;Times;serif" w:hAnsi="Times New Roman;Times;serif"/>
          <w:b/>
          <w:color w:val="000000"/>
          <w:sz w:val="20"/>
        </w:rPr>
        <w:t xml:space="preserve">Role of the Board in 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The Audit Committee of our Board (the “</w:t>
      </w:r>
      <w:r>
        <w:rPr>
          <w:rFonts w:ascii="Times New Roman;Times;serif" w:hAnsi="Times New Roman;Times;serif"/>
          <w:b/>
          <w:i/>
          <w:color w:val="000000"/>
          <w:sz w:val="20"/>
        </w:rPr>
        <w:t>Audit Committee</w:t>
      </w:r>
      <w:r>
        <w:rPr>
          <w:rFonts w:ascii="Times New Roman;Times;serif" w:hAnsi="Times New Roman;Times;serif"/>
          <w:color w:val="000000"/>
          <w:sz w:val="20"/>
        </w:rPr>
        <w:t>”)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cybersecurity risk management, and, to that end, the Audit Committee meets regularly with both IT and business personnel responsible for cybersecurity risk management and receives periodic reports from the head of cybersecurity risk management, as well as incidental reports as matters arise. Our N&amp;CG Committee monitors the effectiveness of our corporate governance guidelines, including whether they are successful in preventing illegal or improper liability-creating conduct. The Compensation Committee of our Board (the “</w:t>
      </w:r>
      <w:r>
        <w:rPr>
          <w:rFonts w:ascii="Times New Roman;Times;serif" w:hAnsi="Times New Roman;Times;serif"/>
          <w:b/>
          <w:i/>
          <w:color w:val="000000"/>
          <w:sz w:val="20"/>
        </w:rPr>
        <w:t>Compensation Committee</w:t>
      </w:r>
      <w:r>
        <w:rPr>
          <w:rFonts w:ascii="Times New Roman;Times;serif" w:hAnsi="Times New Roman;Times;serif"/>
          <w:color w:val="000000"/>
          <w:sz w:val="20"/>
        </w:rPr>
        <w:t xml:space="preserve">”) assesses and monitors whether any of our compensation policies and programs has the potential to encourage excessive risk-taking. Typically, the entire Board meets with the head of the Company’s risk management group at least annually, and the applicable Board committees meet at least annually with the employees responsible for risk management in the committees’ respective areas of oversight. Both the Board as a whole and the various standing committees receive periodic reports from the head of risk management, as well as incidental reports as matters may arise. It is the responsibility of the committee chairs to report findings regarding material risk exposures to the Board as quickly as possible. The Board has delegated to the Board’s independent Chairman the responsibility of coordinating between the Board and management with regard to the determination and implementation of responses to any problematic risk management issues.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more information on cybersecurity oversight, please refer to Item 1C, “Cybersecurity” in our Annual Report on Form 10-K for the year ended December 31, 2025, filed with the SEC on March 25,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6" w:name="ny20071620x1_def14a_106-info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 w:name="tIR4"/>
      <w:bookmarkEnd w:id="27"/>
      <w:r>
        <w:rPr>
          <w:rFonts w:ascii="Times New Roman;Times;serif" w:hAnsi="Times New Roman;Times;serif"/>
          <w:b/>
          <w:color w:val="000000"/>
          <w:sz w:val="20"/>
        </w:rPr>
        <w:t xml:space="preserve">Meetings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met four times during the last fiscal year. Each Board member attended 75% or more of the aggregate number of meetings of the Board and of the committees on which he or she served, held during the portion of the last fiscal year for which he or she was a director or committee member. It is the Company’s policy to encourage directors and nominees for director to attend each annual meeting of stockholders, in person or telephonically. All Board members attended the 2025 annual meeting of stockholders (the “</w:t>
      </w:r>
      <w:r>
        <w:rPr>
          <w:rFonts w:ascii="Times New Roman;Times;serif" w:hAnsi="Times New Roman;Times;serif"/>
          <w:b/>
          <w:i/>
          <w:color w:val="000000"/>
          <w:sz w:val="20"/>
        </w:rPr>
        <w:t>2025 Annual Meeting</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color w:val="000000"/>
          <w:sz w:val="20"/>
        </w:rPr>
      </w:pPr>
      <w:bookmarkStart w:id="28" w:name="tIR5"/>
      <w:bookmarkEnd w:id="28"/>
      <w:r>
        <w:rPr>
          <w:rFonts w:ascii="Times New Roman;Times;serif" w:hAnsi="Times New Roman;Times;serif"/>
          <w:b/>
          <w:color w:val="000000"/>
          <w:sz w:val="20"/>
        </w:rPr>
        <w:t xml:space="preserve">Information Regarding Committees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three committees: the Audit Committee, the Compensation Committee, and the N&amp;CG Committee. The following table provides membership and meeting information for each of the Board committees: </w:t>
      </w:r>
    </w:p>
    <w:tbl>
      <w:tblPr>
        <w:tblW w:w="6245" w:type="dxa"/>
        <w:jc w:val="left"/>
        <w:tblInd w:w="0" w:type="dxa"/>
        <w:tblLayout w:type="fixed"/>
        <w:tblCellMar>
          <w:top w:w="0" w:type="dxa"/>
          <w:left w:w="0" w:type="dxa"/>
          <w:bottom w:w="0" w:type="dxa"/>
          <w:right w:w="0" w:type="dxa"/>
        </w:tblCellMar>
      </w:tblPr>
      <w:tblGrid>
        <w:gridCol w:w="2075"/>
        <w:gridCol w:w="170"/>
        <w:gridCol w:w="170"/>
        <w:gridCol w:w="845"/>
        <w:gridCol w:w="170"/>
        <w:gridCol w:w="170"/>
        <w:gridCol w:w="1085"/>
        <w:gridCol w:w="170"/>
        <w:gridCol w:w="170"/>
        <w:gridCol w:w="1220"/>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Governance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Yasir Al-Wakeel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Patrick Balthrop .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Will Brooke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Ms. Cynthia Collins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Richard Douglas. . . .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4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Stanley C. Erck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Ms. Rekha Hemrajani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John Johnston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1900" w:type="dxa"/>
        <w:jc w:val="left"/>
        <w:tblInd w:w="0" w:type="dxa"/>
        <w:tblLayout w:type="fixed"/>
        <w:tblCellMar>
          <w:top w:w="0" w:type="dxa"/>
          <w:left w:w="0" w:type="dxa"/>
          <w:bottom w:w="0" w:type="dxa"/>
          <w:right w:w="0" w:type="dxa"/>
        </w:tblCellMar>
      </w:tblPr>
      <w:tblGrid>
        <w:gridCol w:w="140"/>
        <w:gridCol w:w="176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description of each committee of the Board. </w:t>
      </w:r>
    </w:p>
    <w:p>
      <w:pPr>
        <w:pStyle w:val="TextBody"/>
        <w:bidi w:val="0"/>
        <w:spacing w:before="270" w:after="283"/>
        <w:ind w:left="0" w:right="0" w:hanging="0"/>
        <w:jc w:val="left"/>
        <w:rPr>
          <w:rFonts w:ascii="Times New Roman;Times;serif" w:hAnsi="Times New Roman;Times;serif"/>
          <w:b/>
          <w:i/>
          <w:color w:val="000000"/>
          <w:sz w:val="20"/>
        </w:rPr>
      </w:pPr>
      <w:bookmarkStart w:id="29" w:name="tIR6"/>
      <w:bookmarkEnd w:id="29"/>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was established by the Board in accordance with Section 3(a)(58)(A) of the Exchange Act, to oversee the Company’s corporate accounting and financial reporting processes and audits of its financial statements. Specific responsibilities of our Audit Committee include: </w:t>
      </w:r>
    </w:p>
    <w:tbl>
      <w:tblPr>
        <w:tblW w:w="7270" w:type="dxa"/>
        <w:jc w:val="left"/>
        <w:tblInd w:w="0" w:type="dxa"/>
        <w:tblLayout w:type="fixed"/>
        <w:tblCellMar>
          <w:top w:w="0" w:type="dxa"/>
          <w:left w:w="0" w:type="dxa"/>
          <w:bottom w:w="0" w:type="dxa"/>
          <w:right w:w="0" w:type="dxa"/>
        </w:tblCellMar>
      </w:tblPr>
      <w:tblGrid>
        <w:gridCol w:w="140"/>
        <w:gridCol w:w="7130"/>
      </w:tblGrid>
      <w:tr>
        <w:trPr/>
        <w:tc>
          <w:tcPr>
            <w:tcW w:w="14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helping our Board oversee our corporate accounting and financial reporting processes;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managing the selection, engagement, qualifications, independence, and performance of a qualified firm to serve as the independent registered public accounting firm to audit our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procedures for employees to submit concerns anonymously about questionable accounting or audit matters;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 person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audit and permissible non-audit services to be performed by the independent registered public accounting firm.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currently comprised of three directors: Dr. Al-Wakeel and Messrs. Brooke and Johnston, with Mr. Brooke serving as chairman. The Audit Committee met four times during the fiscal year ended December 31,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30" w:name="ny20071620x1_def14a_106-info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2025. The Board has adopted a written Audit Committee charter that is available to stockholders on the Company’s website at https://investors.maxcyte.com/corporate-governance/documents- charters.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also determined that Mr. Brooke and Dr. Al-Wakeel each qualify as an “audit committee financial expert,” as defined in applicable SEC rules. The Board made a qualitative assessment of each of Mr. Brooke’s and Dr. Al-Wakeel’s level of knowledge and experience based on a number of factors, including their formal education and experience. </w:t>
      </w:r>
    </w:p>
    <w:p>
      <w:pPr>
        <w:pStyle w:val="TextBody"/>
        <w:bidi w:val="0"/>
        <w:spacing w:before="400" w:after="283"/>
        <w:ind w:left="0" w:right="0" w:hanging="0"/>
        <w:jc w:val="left"/>
        <w:rPr>
          <w:rFonts w:ascii="Times New Roman;Times;serif" w:hAnsi="Times New Roman;Times;serif"/>
          <w:b/>
          <w:color w:val="000000"/>
          <w:sz w:val="20"/>
        </w:rPr>
      </w:pPr>
      <w:bookmarkStart w:id="31" w:name="tIR7"/>
      <w:bookmarkEnd w:id="31"/>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material in the following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 unless and only to the extent that the Company specifically incorporates it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has reviewed and discussed the audited financial statements for the fiscal year ended December 31, 2025 with management of the Company and CohnReznick LLP, its independent registered public accounting firm. The Audit Committee has discussed with the independent registered public accounting firm the matters required to be discussed by the applicable requirements of the Public Company Accounting Oversight Board (“</w:t>
      </w:r>
      <w:r>
        <w:rPr>
          <w:rFonts w:ascii="Times New Roman;Times;serif" w:hAnsi="Times New Roman;Times;serif"/>
          <w:b/>
          <w:i/>
          <w:color w:val="000000"/>
          <w:sz w:val="20"/>
        </w:rPr>
        <w:t>PCAOB</w:t>
      </w:r>
      <w:r>
        <w:rPr>
          <w:rFonts w:ascii="Times New Roman;Times;serif" w:hAnsi="Times New Roman;Times;serif"/>
          <w:color w:val="000000"/>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consolidated financial statements be included in the Company’s Annual Report on Form 10-K for the fiscal year ended December 31, 2025.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Will Brooke, Chair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John Johnston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Dr. Yasir Al-Wakeel </w:t>
      </w:r>
    </w:p>
    <w:p>
      <w:pPr>
        <w:pStyle w:val="TextBody"/>
        <w:bidi w:val="0"/>
        <w:spacing w:before="400" w:after="283"/>
        <w:ind w:left="0" w:right="0" w:hanging="0"/>
        <w:jc w:val="left"/>
        <w:rPr>
          <w:rFonts w:ascii="Times New Roman;Times;serif" w:hAnsi="Times New Roman;Times;serif"/>
          <w:b/>
          <w:i/>
          <w:color w:val="000000"/>
          <w:sz w:val="20"/>
        </w:rPr>
      </w:pPr>
      <w:bookmarkStart w:id="32" w:name="tIR8"/>
      <w:bookmarkEnd w:id="32"/>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currently comprised of four directors: Messrs. Brooke and Erck and Mses. Hemrajani and Collins, with Ms. Hemrajani serving as the chairperson. Each member of the Compensation Committee meets the compensation committee independence requirements of Nasdaq and the rules under the Exchange Act. The Compensation Committee met five times during the fiscal year ended December 31, 2025. The Board has adopted a written Compensation Committee charter that is available to stockholders on the Company’s website at https://investors.maxcyte.com/corporate-governance/documents-charters.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acts on behalf of the Board to review, adopt, and oversee the Company’s compensation strategy, policies, plans, and programs. Specific responsibilities of our Compensation Committee include: </w:t>
      </w:r>
    </w:p>
    <w:tbl>
      <w:tblPr>
        <w:tblW w:w="10195" w:type="dxa"/>
        <w:jc w:val="left"/>
        <w:tblInd w:w="0" w:type="dxa"/>
        <w:tblLayout w:type="fixed"/>
        <w:tblCellMar>
          <w:top w:w="0" w:type="dxa"/>
          <w:left w:w="0" w:type="dxa"/>
          <w:bottom w:w="0" w:type="dxa"/>
          <w:right w:w="0" w:type="dxa"/>
        </w:tblCellMar>
      </w:tblPr>
      <w:tblGrid>
        <w:gridCol w:w="140"/>
        <w:gridCol w:w="10055"/>
      </w:tblGrid>
      <w:tr>
        <w:trPr/>
        <w:tc>
          <w:tcPr>
            <w:tcW w:w="14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chief executive officer, other executive officers and senior management; </w:t>
            </w:r>
          </w:p>
        </w:tc>
      </w:tr>
    </w:tbl>
    <w:tbl>
      <w:tblPr>
        <w:tblW w:w="8185" w:type="dxa"/>
        <w:jc w:val="left"/>
        <w:tblInd w:w="0" w:type="dxa"/>
        <w:tblLayout w:type="fixed"/>
        <w:tblCellMar>
          <w:top w:w="0" w:type="dxa"/>
          <w:left w:w="0" w:type="dxa"/>
          <w:bottom w:w="0" w:type="dxa"/>
          <w:right w:w="0" w:type="dxa"/>
        </w:tblCellMar>
      </w:tblPr>
      <w:tblGrid>
        <w:gridCol w:w="140"/>
        <w:gridCol w:w="8045"/>
      </w:tblGrid>
      <w:tr>
        <w:trPr/>
        <w:tc>
          <w:tcPr>
            <w:tcW w:w="14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the compensation paid to our non-executive directors;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and other Company benefit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establishing general policies relating to compensation and benefits of our employees, including our overall compensation philosophy.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3" w:name="ny20071620x1_def14a_106-info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required by SEC rules, the Compensation Committee will review with management the Company’s Compensation Discussion and Analysis and consider whether to recommend that it be included in proxy statements and other filings.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Processes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Typically, the Compensation Committee meets at least four times annually and with greater frequency if deemed necessary. The agenda for each meeting is usually developed by the chairperson in consultation with the Company’s Chief Executive Officer and other executives, the Chair of the Board, and the Company’s compensation consultant. The Compensation Committee meets regularly in executive session. Various members of management and other employees as well as outside advisors or consultants may be invited by the Compensation Committee to make presentations, to provide data and other background information or advice or to otherwise participate in Compensation Committee meetings. The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2025, the Compensation Committee engaged Pearl Meyer and Partners, LLC (“</w:t>
      </w:r>
      <w:r>
        <w:rPr>
          <w:rFonts w:ascii="Times New Roman;Times;serif" w:hAnsi="Times New Roman;Times;serif"/>
          <w:b/>
          <w:i/>
          <w:color w:val="000000"/>
          <w:sz w:val="20"/>
        </w:rPr>
        <w:t>Pearl Meyer</w:t>
      </w:r>
      <w:r>
        <w:rPr>
          <w:rFonts w:ascii="Times New Roman;Times;serif" w:hAnsi="Times New Roman;Times;serif"/>
          <w:color w:val="000000"/>
          <w:sz w:val="20"/>
        </w:rPr>
        <w:t xml:space="preserve">”) as compensation consultant. The Compensation Committee requested that Pearl Meyer: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efficacy of the Company’s existing compensation strategy and practices in supporting and reinforcing the Company’s long-term strategic goals;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assist in refining the Company’s compensation strategy and in developing and implementing an executive compensation program to execute that strategy.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its engagement, Pearl Meyer was requested by the Compensation Committee to develop a comparative group of companies and to perform analyses of competitive performance and compensation levels for that group. Pearl Meyer provided data and guidance in developing recommendations for compensation of executives and made recommendations to the Compensation Committee with regards to compensation of non-executive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for recommendation to the full Board, which determines any adjustments to his compensation as well as equity awards to be granted. </w:t>
      </w:r>
    </w:p>
    <w:p>
      <w:pPr>
        <w:pStyle w:val="TextBody"/>
        <w:bidi w:val="0"/>
        <w:spacing w:before="240" w:after="283"/>
        <w:ind w:left="0" w:right="0" w:hanging="0"/>
        <w:jc w:val="left"/>
        <w:rPr>
          <w:rFonts w:ascii="Times New Roman;Times;serif" w:hAnsi="Times New Roman;Times;serif"/>
          <w:b/>
          <w:i/>
          <w:color w:val="000000"/>
          <w:sz w:val="20"/>
        </w:rPr>
      </w:pPr>
      <w:bookmarkStart w:id="34" w:name="tIR9"/>
      <w:bookmarkEnd w:id="34"/>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management and the Board, and developing a set of corporate governance principles for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is currently comprised of three directors: Dr. Douglas and Messrs. Erck and Balthrop, with Mr. Balthrop serving as chairman. All members of the N&amp;CG Committee are independent (as independence is currently defined in Rule 5605(a)(2) of the Nasdaq listing standards). The N&amp;CG Committee met three times during the fiscal year ended December 31, 2025. The Board has adopted a written N&amp;CG Committee charter that is available to stockholders on the Company’s website at https://investors.maxcyte.com/corporate-governance/documents-charters.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5" w:name="ny20071620x1_def14a_106-info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believes that candidates for director should have certain minimum qualifications, including the ability to read and understand basic financial statements, being over 21 years of age and having the highest personal integrity and ethics. The N&amp;CG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N&amp;CG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N&amp;CG Committee may consider diversity (including gender, racial, and ethnic diversity), age, skills, and such other factors as it deems appropriate, given the current needs of the Board and the Company, to maintain a balance of knowledge, experience, and capability. We have no formal policy regarding board diversity.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appreciates the value of thoughtful Board refreshment, and regularly identifies and considers qualities, skills, and other director attributes that would enhance the composition of the Board. In the case of incumbent directors whose terms of office are set to expire, the N&amp;CG Committee reviews these directors’ overall service to the Company during their terms, including the number of meetings attended, level of participation, quality of performance, and any other relationships and transactions that might impair the directors’ independence. The N&amp;CG Committee will also take into account the results of the Board’s self-evaluation, conducted annually on a group and individual basis. In the case of new director candidates, the N&amp;CG Committee also determines whether the nominee is independent for Nasdaq purposes, which determination is based upon applicable Nasdaq listing standards, applicable SEC rules and regulations and the advice of legal counsel, if necessary. The N&amp;CG Committee then uses its network of contacts to compile a list of potential candidates, but may also engage, if it deems appropriate, a professional search firm. The N&amp;CG Committee conducts any appropriate and necessary inquiries into the backgrounds and qualifications of possible candidates after considering the function and needs of the Board. The N&amp;CG Committee meets to discuss and consider the candidates’ qualifications and then selects a nominee for recommendation to the Board by majority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N&amp;CG Committee will consider director candidates recommended by the Company’s stockholders. The N&amp;CG Committee does not intend to alter the manner in which it evaluates a candidate for nomination to the Board based on whether or not the candidate was recommended by a stockholder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wish to recommend individuals for consideration by the N&amp;CG Committee to become nominees for election to the Board at an annual meeting of stockholders must do so by delivering a written recommendation to the Nominating and Corporate Governance Committee c/o MaxCyte, Inc., 9713 Key West Avenue, Suite 400, Rockville, Maryland 20850, Attn: General Counsel. Each submission must set forth: </w:t>
      </w:r>
    </w:p>
    <w:tbl>
      <w:tblPr>
        <w:tblW w:w="6850" w:type="dxa"/>
        <w:jc w:val="left"/>
        <w:tblInd w:w="0" w:type="dxa"/>
        <w:tblLayout w:type="fixed"/>
        <w:tblCellMar>
          <w:top w:w="0" w:type="dxa"/>
          <w:left w:w="0" w:type="dxa"/>
          <w:bottom w:w="0" w:type="dxa"/>
          <w:right w:w="0" w:type="dxa"/>
        </w:tblCellMar>
      </w:tblPr>
      <w:tblGrid>
        <w:gridCol w:w="140"/>
        <w:gridCol w:w="6710"/>
      </w:tblGrid>
      <w:tr>
        <w:trPr/>
        <w:tc>
          <w:tcPr>
            <w:tcW w:w="14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the stockholder on whose behalf the submission is made;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Company’s common stock that are owned beneficially by such stockholder as of the date of the submission; </w:t>
            </w:r>
          </w:p>
        </w:tc>
      </w:tr>
    </w:tbl>
    <w:tbl>
      <w:tblPr>
        <w:tblW w:w="3535" w:type="dxa"/>
        <w:jc w:val="left"/>
        <w:tblInd w:w="0" w:type="dxa"/>
        <w:tblLayout w:type="fixed"/>
        <w:tblCellMar>
          <w:top w:w="0" w:type="dxa"/>
          <w:left w:w="0" w:type="dxa"/>
          <w:bottom w:w="0" w:type="dxa"/>
          <w:right w:w="0" w:type="dxa"/>
        </w:tblCellMar>
      </w:tblPr>
      <w:tblGrid>
        <w:gridCol w:w="140"/>
        <w:gridCol w:w="3395"/>
      </w:tblGrid>
      <w:tr>
        <w:trPr/>
        <w:tc>
          <w:tcPr>
            <w:tcW w:w="14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full name of the proposed candidate; </w:t>
            </w:r>
          </w:p>
        </w:tc>
      </w:tr>
    </w:tbl>
    <w:tbl>
      <w:tblPr>
        <w:tblW w:w="8080" w:type="dxa"/>
        <w:jc w:val="left"/>
        <w:tblInd w:w="0" w:type="dxa"/>
        <w:tblLayout w:type="fixed"/>
        <w:tblCellMar>
          <w:top w:w="0" w:type="dxa"/>
          <w:left w:w="0" w:type="dxa"/>
          <w:bottom w:w="0" w:type="dxa"/>
          <w:right w:w="0" w:type="dxa"/>
        </w:tblCellMar>
      </w:tblPr>
      <w:tblGrid>
        <w:gridCol w:w="140"/>
        <w:gridCol w:w="7940"/>
      </w:tblGrid>
      <w:tr>
        <w:trPr/>
        <w:tc>
          <w:tcPr>
            <w:tcW w:w="14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the proposed candidate’s business experience for at least the previous five years;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 biographical information for the proposed candidate; and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the proposed candidate’s qualifications as a director.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such submission must be accompanied by the written consent of the proposed candidate to be named as a nominee and to serve as a director if elected. All written submissions received from stockholders that include the information described above will be reviewed by the N&amp;CG Committee at its next appropriate meeting. If a stockholder wishes the N&amp;CG Committee to consider a director candidate for nomination at an annual meeting of stockholders, then the recommendation must be provided at least 90 days, but not more than 120 days, prior to the anniversary date of the preceding year’s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6" w:name="ny20071620x1_def14a_106-info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7" w:name="tIR10"/>
      <w:bookmarkEnd w:id="37"/>
      <w:r>
        <w:rPr>
          <w:rFonts w:ascii="Times New Roman;Times;serif" w:hAnsi="Times New Roman;Times;serif"/>
          <w:b/>
          <w:color w:val="000000"/>
          <w:sz w:val="20"/>
        </w:rPr>
        <w:t xml:space="preserve">Communications With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process by which stockholders may communicate with the Board or any of its directors. Stockholders who wish to communicate with the Board may do so by sending written communications addressed to the Board or such director c/o MaxCyte, Inc., 9713 Key West Avenue, Suite 400, Rockville, Maryland 20850, Attn: General Counsel. Each communication must set forth: </w:t>
      </w:r>
    </w:p>
    <w:tbl>
      <w:tblPr>
        <w:tblW w:w="7450" w:type="dxa"/>
        <w:jc w:val="left"/>
        <w:tblInd w:w="0" w:type="dxa"/>
        <w:tblLayout w:type="fixed"/>
        <w:tblCellMar>
          <w:top w:w="0" w:type="dxa"/>
          <w:left w:w="0" w:type="dxa"/>
          <w:bottom w:w="0" w:type="dxa"/>
          <w:right w:w="0" w:type="dxa"/>
        </w:tblCellMar>
      </w:tblPr>
      <w:tblGrid>
        <w:gridCol w:w="140"/>
        <w:gridCol w:w="7310"/>
      </w:tblGrid>
      <w:tr>
        <w:trPr/>
        <w:tc>
          <w:tcPr>
            <w:tcW w:w="14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the stockholder on whose behalf the communication is sent;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Company’s common stock that are owned beneficially by such stockholder as of the date of the communication.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General Counsel will review each communication. The General Counsel will forward such communication to the Board or to any individual director to whom the communication is addressed unless the communication contains advertisements or solicitations or is unduly hostile, threatening, or similarly inappropriate, in which case the General Counsel will discard the communication. </w:t>
      </w:r>
    </w:p>
    <w:p>
      <w:pPr>
        <w:pStyle w:val="TextBody"/>
        <w:bidi w:val="0"/>
        <w:spacing w:before="410" w:after="283"/>
        <w:ind w:left="0" w:right="0" w:hanging="0"/>
        <w:jc w:val="left"/>
        <w:rPr>
          <w:rFonts w:ascii="Times New Roman;Times;serif" w:hAnsi="Times New Roman;Times;serif"/>
          <w:b/>
          <w:color w:val="000000"/>
          <w:sz w:val="20"/>
        </w:rPr>
      </w:pPr>
      <w:bookmarkStart w:id="38" w:name="tIR11"/>
      <w:bookmarkEnd w:id="38"/>
      <w:r>
        <w:rPr>
          <w:rFonts w:ascii="Times New Roman;Times;serif" w:hAnsi="Times New Roman;Times;serif"/>
          <w:b/>
          <w:color w:val="000000"/>
          <w:sz w:val="20"/>
        </w:rPr>
        <w:t xml:space="preserve">Code of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the MaxCyte, Inc. Code of Conduct and Ethics that applies to all officers, directors, and employees. The Code of Conduct and Ethics is available on the Company’s website at https://investors.maxcyte.com/corporate-governance/documents-charters. If the Company makes any substantive amendments to the Code of Conduct and Ethics or grants any waiver from a provision of the Code of Conduct and Ethics to any executive officer or director, the Company will promptly disclose the nature of the amendment or waiver on its website. </w:t>
      </w:r>
    </w:p>
    <w:p>
      <w:pPr>
        <w:pStyle w:val="TextBody"/>
        <w:bidi w:val="0"/>
        <w:spacing w:before="410" w:after="283"/>
        <w:ind w:left="0" w:right="0" w:hanging="0"/>
        <w:jc w:val="left"/>
        <w:rPr>
          <w:rFonts w:ascii="Times New Roman;Times;serif" w:hAnsi="Times New Roman;Times;serif"/>
          <w:b/>
          <w:color w:val="000000"/>
          <w:sz w:val="20"/>
        </w:rPr>
      </w:pPr>
      <w:bookmarkStart w:id="39" w:name="tIR12"/>
      <w:bookmarkEnd w:id="39"/>
      <w:r>
        <w:rPr>
          <w:rFonts w:ascii="Times New Roman;Times;serif" w:hAnsi="Times New Roman;Times;serif"/>
          <w:b/>
          <w:color w:val="000000"/>
          <w:sz w:val="20"/>
        </w:rPr>
        <w:t xml:space="preserve">Insider Trading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 Corporate Disclosure Code and Share Dealing Code, each of which include provisions governing the purchase, sale, and/or other dispositions of our securities by our directors, officers, and employees, and we have implemented processes that the Company believes are reasonably designed to promote compliance with insider trading laws, rules, and regulations, and applicable listing standards of Nasdaq. </w:t>
      </w:r>
    </w:p>
    <w:p>
      <w:pPr>
        <w:pStyle w:val="TextBody"/>
        <w:bidi w:val="0"/>
        <w:spacing w:before="410" w:after="283"/>
        <w:ind w:left="0" w:right="0" w:hanging="0"/>
        <w:jc w:val="left"/>
        <w:rPr>
          <w:rFonts w:ascii="Times New Roman;Times;serif" w:hAnsi="Times New Roman;Times;serif"/>
          <w:b/>
          <w:color w:val="000000"/>
          <w:sz w:val="20"/>
        </w:rPr>
      </w:pPr>
      <w:bookmarkStart w:id="40" w:name="tIR13"/>
      <w:bookmarkEnd w:id="40"/>
      <w:r>
        <w:rPr>
          <w:rFonts w:ascii="Times New Roman;Times;serif" w:hAnsi="Times New Roman;Times;serif"/>
          <w:b/>
          <w:color w:val="000000"/>
          <w:sz w:val="20"/>
        </w:rPr>
        <w:t xml:space="preserve">Corporate Governance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documented the governance practices to be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succession planning and board committees and compensation. </w:t>
      </w:r>
    </w:p>
    <w:p>
      <w:pPr>
        <w:pStyle w:val="TextBody"/>
        <w:bidi w:val="0"/>
        <w:spacing w:before="410" w:after="283"/>
        <w:ind w:left="0" w:right="0" w:hanging="0"/>
        <w:jc w:val="left"/>
        <w:rPr>
          <w:rFonts w:ascii="Times New Roman;Times;serif" w:hAnsi="Times New Roman;Times;serif"/>
          <w:b/>
          <w:color w:val="000000"/>
          <w:sz w:val="20"/>
        </w:rPr>
      </w:pPr>
      <w:bookmarkStart w:id="41" w:name="tIR14"/>
      <w:bookmarkEnd w:id="41"/>
      <w:r>
        <w:rPr>
          <w:rFonts w:ascii="Times New Roman;Times;serif" w:hAnsi="Times New Roman;Times;serif"/>
          <w:b/>
          <w:color w:val="000000"/>
          <w:sz w:val="20"/>
        </w:rPr>
        <w:t xml:space="preserve">Hedging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currently have any practices or policies regarding hedging or offsetting any decrease in the market value of our equity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42" w:name="ny20071620x1_def14a_107-prop2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PROP2"/>
      <w:bookmarkEnd w:id="43"/>
      <w:r>
        <w:rPr>
          <w:rFonts w:ascii="Times New Roman;Times;serif" w:hAnsi="Times New Roman;Times;serif"/>
          <w:b/>
          <w:color w:val="000000"/>
          <w:sz w:val="20"/>
        </w:rPr>
        <w:t>PROPOSAL 2</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selected CohnReznick LLP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CohnReznick LLP has audited the Company’s financial statements since the fiscal year ended December 31, 2019. Representatives of CohnReznick LLP are expected to be present at the Annual Meeting. They will have an opportunity to make a statement if they so desire and will be available to respond to appropriate questions.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Company’s Bylaws nor other governing documents or law require stockholder ratification of the selection of CohnReznick LLP as the Company’s independent registered public accounting firm. However, the Audit Committee is submitting the selection of CohnReznick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Accountant Fees And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aggregate fees billed to the Company for the fiscal years ended December 31, 2025 and 2024 by CohnReznick LLP, the Company’s principal accountant. </w:t>
      </w:r>
    </w:p>
    <w:tbl>
      <w:tblPr>
        <w:tblW w:w="4457" w:type="dxa"/>
        <w:jc w:val="left"/>
        <w:tblInd w:w="0" w:type="dxa"/>
        <w:tblLayout w:type="fixed"/>
        <w:tblCellMar>
          <w:top w:w="0" w:type="dxa"/>
          <w:left w:w="0" w:type="dxa"/>
          <w:bottom w:w="0" w:type="dxa"/>
          <w:right w:w="0" w:type="dxa"/>
        </w:tblCellMar>
      </w:tblPr>
      <w:tblGrid>
        <w:gridCol w:w="1625"/>
        <w:gridCol w:w="170"/>
        <w:gridCol w:w="170"/>
        <w:gridCol w:w="855"/>
        <w:gridCol w:w="309"/>
        <w:gridCol w:w="309"/>
        <w:gridCol w:w="1019"/>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2" w:type="dxa"/>
            <w:gridSpan w:val="4"/>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December 31,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10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2"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Fees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321" w:right="0" w:hanging="0"/>
              <w:jc w:val="left"/>
              <w:rPr>
                <w:rFonts w:ascii="Times New Roman;Times;serif" w:hAnsi="Times New Roman;Times;serif"/>
                <w:color w:val="000000"/>
                <w:sz w:val="20"/>
              </w:rPr>
            </w:pPr>
            <w:r>
              <w:rPr>
                <w:rFonts w:ascii="Times New Roman;Times;serif" w:hAnsi="Times New Roman;Times;serif"/>
                <w:color w:val="000000"/>
                <w:sz w:val="20"/>
              </w:rPr>
              <w:t>$761</w:t>
            </w:r>
          </w:p>
        </w:tc>
        <w:tc>
          <w:tcPr>
            <w:tcW w:w="309" w:type="dxa"/>
            <w:tcBorders/>
            <w:shd w:fill="CCEEFF" w:val="clear"/>
            <w:vAlign w:val="center"/>
          </w:tcPr>
          <w:p>
            <w:pPr>
              <w:pStyle w:val="TableContents"/>
              <w:bidi w:val="0"/>
              <w:spacing w:before="0" w:after="0"/>
              <w:jc w:val="left"/>
              <w:rPr/>
            </w:pPr>
            <w:r>
              <w:rPr/>
              <w:t> </w:t>
            </w:r>
          </w:p>
        </w:tc>
        <w:tc>
          <w:tcPr>
            <w:tcW w:w="309"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3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$468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321" w:right="0" w:hanging="0"/>
              <w:jc w:val="left"/>
              <w:rPr>
                <w:color w:val="000000"/>
              </w:rPr>
            </w:pPr>
            <w:r>
              <w:rPr>
                <w:color w:val="000000"/>
              </w:rPr>
              <w:t>—</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321"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321"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309" w:type="dxa"/>
            <w:tcBorders/>
            <w:shd w:fill="CCEEFF" w:val="clear"/>
            <w:vAlign w:val="center"/>
          </w:tcPr>
          <w:p>
            <w:pPr>
              <w:pStyle w:val="TableContents"/>
              <w:bidi w:val="0"/>
              <w:spacing w:before="0" w:after="0"/>
              <w:jc w:val="left"/>
              <w:rPr/>
            </w:pPr>
            <w:r>
              <w:rPr/>
              <w:t> </w:t>
            </w:r>
          </w:p>
        </w:tc>
        <w:tc>
          <w:tcPr>
            <w:tcW w:w="309"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3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321" w:right="0" w:hanging="0"/>
              <w:jc w:val="left"/>
              <w:rPr>
                <w:color w:val="000000"/>
                <w:bdr w:val="single" w:sz="8" w:space="2" w:color="000000"/>
              </w:rPr>
            </w:pPr>
            <w:r>
              <w:rPr>
                <w:color w:val="000000"/>
                <w:bdr w:val="single" w:sz="8" w:space="2" w:color="000000"/>
              </w:rPr>
              <w:t>—</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321" w:right="0" w:hanging="0"/>
              <w:jc w:val="left"/>
              <w:rPr>
                <w:color w:val="000000"/>
                <w:bdr w:val="single" w:sz="8" w:space="2" w:color="000000"/>
              </w:rPr>
            </w:pPr>
            <w:r>
              <w:rPr>
                <w:color w:val="000000"/>
                <w:bdr w:val="single" w:sz="8" w:space="2" w:color="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321" w:right="0" w:hanging="0"/>
              <w:jc w:val="left"/>
              <w:rPr>
                <w:rFonts w:ascii="Times New Roman;Times;serif" w:hAnsi="Times New Roman;Times;serif"/>
                <w:b/>
                <w:color w:val="000000"/>
                <w:sz w:val="20"/>
              </w:rPr>
            </w:pPr>
            <w:r>
              <w:rPr>
                <w:rFonts w:ascii="Times New Roman;Times;serif" w:hAnsi="Times New Roman;Times;serif"/>
                <w:b/>
                <w:color w:val="000000"/>
                <w:sz w:val="20"/>
              </w:rPr>
              <w:t>$825</w:t>
            </w:r>
          </w:p>
        </w:tc>
        <w:tc>
          <w:tcPr>
            <w:tcW w:w="309" w:type="dxa"/>
            <w:tcBorders/>
            <w:shd w:fill="CCEEFF" w:val="clear"/>
            <w:vAlign w:val="center"/>
          </w:tcPr>
          <w:p>
            <w:pPr>
              <w:pStyle w:val="TableContents"/>
              <w:bidi w:val="0"/>
              <w:spacing w:before="0" w:after="0"/>
              <w:jc w:val="left"/>
              <w:rPr/>
            </w:pPr>
            <w:r>
              <w:rPr/>
              <w:t> </w:t>
            </w:r>
          </w:p>
        </w:tc>
        <w:tc>
          <w:tcPr>
            <w:tcW w:w="309"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283"/>
              <w:ind w:left="321" w:right="0" w:hanging="0"/>
              <w:jc w:val="left"/>
              <w:rPr>
                <w:rFonts w:ascii="Times New Roman;Times;serif" w:hAnsi="Times New Roman;Times;serif"/>
                <w:b/>
                <w:color w:val="000000"/>
                <w:sz w:val="20"/>
              </w:rPr>
            </w:pPr>
            <w:r>
              <w:rPr>
                <w:rFonts w:ascii="Times New Roman;Times;serif" w:hAnsi="Times New Roman;Times;serif"/>
                <w:b/>
                <w:color w:val="000000"/>
                <w:sz w:val="20"/>
              </w:rPr>
              <w:t>$538</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0"/>
              <w:jc w:val="left"/>
              <w:rPr/>
            </w:pPr>
            <w:r>
              <w:rPr/>
              <w:t> </w:t>
            </w:r>
          </w:p>
        </w:tc>
        <w:tc>
          <w:tcPr>
            <w:tcW w:w="309" w:type="dxa"/>
            <w:tcBorders/>
            <w:shd w:fill="CCEEFF" w:val="clear"/>
            <w:vAlign w:val="center"/>
          </w:tcPr>
          <w:p>
            <w:pPr>
              <w:pStyle w:val="TableContents"/>
              <w:bidi w:val="0"/>
              <w:spacing w:before="0" w:after="0"/>
              <w:jc w:val="left"/>
              <w:rPr/>
            </w:pPr>
            <w:r>
              <w:rPr/>
              <w:t> </w:t>
            </w:r>
          </w:p>
        </w:tc>
        <w:tc>
          <w:tcPr>
            <w:tcW w:w="309" w:type="dxa"/>
            <w:tcBorders/>
            <w:shd w:fill="CCEEFF" w:val="clear"/>
            <w:vAlign w:val="center"/>
          </w:tcPr>
          <w:p>
            <w:pPr>
              <w:pStyle w:val="TableContents"/>
              <w:bidi w:val="0"/>
              <w:spacing w:before="0" w:after="0"/>
              <w:jc w:val="left"/>
              <w:rPr/>
            </w:pPr>
            <w:r>
              <w:rPr/>
              <w:t> </w:t>
            </w:r>
          </w:p>
        </w:tc>
        <w:tc>
          <w:tcPr>
            <w:tcW w:w="1019"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Audit fees</w:t>
      </w:r>
      <w:r>
        <w:rPr>
          <w:rFonts w:ascii="Times New Roman;Times;serif" w:hAnsi="Times New Roman;Times;serif"/>
          <w:color w:val="000000"/>
          <w:sz w:val="20"/>
        </w:rPr>
        <w:t xml:space="preserve"> consist of fees billed for professional services provided in connection with the audit of our annual financial statements, the review of our quarterly financial statements, and audit services that are normally provided by the independent registered public accounting firm in connection with regulatory filings. The increase in audit fees for the fiscal year ended December 31, 2025 can be primarily attributable to Cohn Reznick LLP’s audit review in connection with the Company’s acquisition of SeQure Dx.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Audit-related fees</w:t>
      </w:r>
      <w:r>
        <w:rPr>
          <w:rFonts w:ascii="Times New Roman;Times;serif" w:hAnsi="Times New Roman;Times;serif"/>
          <w:color w:val="000000"/>
          <w:sz w:val="20"/>
        </w:rPr>
        <w:t xml:space="preserve"> consist of assurance and related services that are reasonably related to the performance of the audit or review of the Company’s financial statements.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Tax fees</w:t>
      </w:r>
      <w:r>
        <w:rPr>
          <w:rFonts w:ascii="Times New Roman;Times;serif" w:hAnsi="Times New Roman;Times;serif"/>
          <w:color w:val="000000"/>
          <w:sz w:val="20"/>
        </w:rPr>
        <w:t xml:space="preserve"> consist of fees for tax compliance, consultation, and related matters.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All other fees</w:t>
      </w:r>
      <w:r>
        <w:rPr>
          <w:rFonts w:ascii="Times New Roman;Times;serif" w:hAnsi="Times New Roman;Times;serif"/>
          <w:color w:val="000000"/>
          <w:sz w:val="20"/>
        </w:rPr>
        <w:t xml:space="preserve"> consist of any fees that do not fall into any of the above categories.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fees described above were pre-approved by the Audit Committee in accordance with its pre-approval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pre-approval policy requires services provided by the independent registered public accounting firm to be pre-approved by the Audit Committee, which may be delegated to one or more of the Audit Committee’s members, so long as any such pre-approval decisions are presented to the full Audit Committee at the next scheduled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determined that the rendering of services other than audit services by CohnReznick LLP is compatible with maintaining the principal accountant’s independence.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IN FAVOR OF PROPOSAL 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44" w:name="ny20071620x1_def14a_108-executive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EO"/>
      <w:bookmarkEnd w:id="45"/>
      <w:r>
        <w:rPr>
          <w:rFonts w:ascii="Times New Roman;Times;serif" w:hAnsi="Times New Roman;Times;serif"/>
          <w:b/>
          <w:color w:val="000000"/>
          <w:sz w:val="20"/>
        </w:rPr>
        <w:t xml:space="preserve">EXECUTIVE OFFICERS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for our executive officers, including their ages: </w:t>
      </w:r>
    </w:p>
    <w:tbl>
      <w:tblPr>
        <w:tblW w:w="6260" w:type="dxa"/>
        <w:jc w:val="left"/>
        <w:tblInd w:w="0" w:type="dxa"/>
        <w:tblLayout w:type="fixed"/>
        <w:tblCellMar>
          <w:top w:w="0" w:type="dxa"/>
          <w:left w:w="0" w:type="dxa"/>
          <w:bottom w:w="0" w:type="dxa"/>
          <w:right w:w="0" w:type="dxa"/>
        </w:tblCellMar>
      </w:tblPr>
      <w:tblGrid>
        <w:gridCol w:w="1295"/>
        <w:gridCol w:w="170"/>
        <w:gridCol w:w="170"/>
        <w:gridCol w:w="335"/>
        <w:gridCol w:w="170"/>
        <w:gridCol w:w="170"/>
        <w:gridCol w:w="3950"/>
      </w:tblGrid>
      <w:tr>
        <w:trPr/>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Maher Masoud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Parmeet Ahuja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biography of Mr. Masoud is set forth in “Proposal 1: Election of Directors” above.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Parmeet Ahuja </w:t>
      </w:r>
      <w:r>
        <w:rPr>
          <w:rFonts w:ascii="Times New Roman;Times;serif" w:hAnsi="Times New Roman;Times;serif"/>
          <w:b w:val="false"/>
          <w:i w:val="false"/>
          <w:caps w:val="false"/>
          <w:smallCaps w:val="false"/>
          <w:color w:val="000000"/>
          <w:sz w:val="20"/>
        </w:rPr>
        <w:t xml:space="preserve">has served as our Chief Financial Officer since March 2026. Prior to joining MaxCyte, Mr. Ahuja served as Vice President, Investor Relations of Agilent Technologies, Inc., a life sciences tools company, (“Agilent”) from August 2021 to October 2025, and previously served as Vice President, Financial Planning and Analysis, Operations and Supply Chain at Agilent from July 2017 to July 2021. Previously, he held several leadership roles at Agilent in operational finance, financial planning and analysis, enterprise audit and controls, and global financial operations. Mr. Ahuja holds an MBA from San Jose State University and a Bachelor of Commerce (Hons) from Delhi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46" w:name="ny20071620x1_def14a_109-security_pg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7" w:name="tSOO"/>
      <w:bookmarkEnd w:id="47"/>
      <w:r>
        <w:rPr>
          <w:rFonts w:ascii="Times New Roman;Times;serif" w:hAnsi="Times New Roman;Times;serif"/>
          <w:b/>
          <w:color w:val="000000"/>
          <w:sz w:val="20"/>
        </w:rPr>
        <w:t xml:space="preserve">SECURITY OWNERSHIP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the Company’s common stock as of April 21, 2026 by: (i) each director; (ii) each of the Company’s named executive officers; (iii) all current executive officers and directors of the Company as a group; and (iv) all those known by the Company to be beneficial owners of more than five percent of its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table is based upon information supplied by officers, directors and principal stockholders. Applicable percentage ownership is based on 107,121,672 shares of common stock outstanding as of April 21, 2026. In computing the number of shares beneficially owned by a person and the percentage ownership of such person, we include all shares subject to options held by the person that are currently exercisable, or would be exercisable or would vest based on service-based vesting conditions as of June 20, 2026, which is 60 days after April 21, 2026. However, except as described above, we do not deem such shares outstanding for the purpose of computing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beneficial owner listed in the table below is c/o MaxCyte, Inc. 9713 Key West Avenue, Suite 400, Rockville, Maryland 20850. </w:t>
      </w:r>
    </w:p>
    <w:tbl>
      <w:tblPr>
        <w:tblW w:w="9305" w:type="dxa"/>
        <w:jc w:val="left"/>
        <w:tblInd w:w="0" w:type="dxa"/>
        <w:tblLayout w:type="fixed"/>
        <w:tblCellMar>
          <w:top w:w="0" w:type="dxa"/>
          <w:left w:w="0" w:type="dxa"/>
          <w:bottom w:w="0" w:type="dxa"/>
          <w:right w:w="0" w:type="dxa"/>
        </w:tblCellMar>
      </w:tblPr>
      <w:tblGrid>
        <w:gridCol w:w="5720"/>
        <w:gridCol w:w="170"/>
        <w:gridCol w:w="170"/>
        <w:gridCol w:w="1400"/>
        <w:gridCol w:w="170"/>
        <w:gridCol w:w="170"/>
        <w:gridCol w:w="1505"/>
      </w:tblGrid>
      <w:tr>
        <w:trPr/>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57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center"/>
              <w:rPr>
                <w:color w:val="000000"/>
              </w:rPr>
            </w:pPr>
            <w:r>
              <w:rPr>
                <w:color w:val="000000"/>
              </w:rPr>
              <w:t>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Capricorn Fund Managers Ltd</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8,200,000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6,997,197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River Global Investors LLP </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5,497,452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center"/>
              <w:rPr>
                <w:color w:val="000000"/>
              </w:rPr>
            </w:pPr>
            <w:r>
              <w:rPr>
                <w:color w:val="000000"/>
              </w:rPr>
              <w:t>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Yasir Al-Wakeel</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349,668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Brooke</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457,770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Collins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151,331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Douglas, PhD</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530,568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Erck</w:t>
            </w:r>
            <w:r>
              <w:rPr>
                <w:rFonts w:ascii="Times New Roman;Times;serif" w:hAnsi="Times New Roman;Times;serif"/>
                <w:color w:val="000000"/>
                <w:position w:val="7"/>
                <w:sz w:val="16"/>
                <w:sz w:val="20"/>
              </w:rPr>
              <w:t>(8)</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705,219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Rekha Hemrajani</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338,984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Johnston</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393,868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J. Balthrop</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292,068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Maher Masoud</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1,176,961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Swirsky</w:t>
            </w:r>
            <w:r>
              <w:rPr>
                <w:rFonts w:ascii="Times New Roman;Times;serif" w:hAnsi="Times New Roman;Times;serif"/>
                <w:color w:val="000000"/>
                <w:position w:val="7"/>
                <w:sz w:val="16"/>
                <w:sz w:val="20"/>
              </w:rPr>
              <w:t xml:space="preserve"> (13)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533,439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Soleymannezhad</w:t>
            </w:r>
            <w:r>
              <w:rPr>
                <w:rFonts w:ascii="Times New Roman;Times;serif" w:hAnsi="Times New Roman;Time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2,695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Parmeet Ahuja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current executive officers as a group (10 persons)</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19" w:right="0" w:hanging="0"/>
              <w:jc w:val="left"/>
              <w:rPr>
                <w:rFonts w:ascii="Times New Roman;Times;serif" w:hAnsi="Times New Roman;Times;serif"/>
                <w:color w:val="000000"/>
                <w:sz w:val="20"/>
              </w:rPr>
            </w:pPr>
            <w:r>
              <w:rPr>
                <w:rFonts w:ascii="Times New Roman;Times;serif" w:hAnsi="Times New Roman;Times;serif"/>
                <w:color w:val="000000"/>
                <w:sz w:val="20"/>
              </w:rPr>
              <w:t>4,396,437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r>
      <w:tr>
        <w:trPr/>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solely on a Schedule 13G filed with the SEC on February 5, 2026, Capricorn Fund Managers Ltd, a United Kingdom private limited company located at Malta House, 36-38 Piccadilly, London W1J 0DP (“</w:t>
            </w:r>
            <w:r>
              <w:rPr>
                <w:rFonts w:ascii="Times New Roman;Times;serif" w:hAnsi="Times New Roman;Times;serif"/>
                <w:b/>
                <w:i/>
                <w:color w:val="000000"/>
                <w:sz w:val="16"/>
              </w:rPr>
              <w:t>Capricorn</w:t>
            </w:r>
            <w:r>
              <w:rPr>
                <w:rFonts w:ascii="Times New Roman;Times;serif" w:hAnsi="Times New Roman;Times;serif"/>
                <w:color w:val="000000"/>
                <w:sz w:val="16"/>
              </w:rPr>
              <w:t xml:space="preserve">”) reported sole voting power of 8,200,000 shares of our common stock. Capricorn also reported that it did not possess sole dispositive power or shared voting or dispositive power over any shares beneficially owned.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solely on a Schedule 13G/A filed with the SEC on January 21, 2026, subsidiaries of BlackRock, Inc., a Delaware corporation, located at 50 Hudson Yards, New York, NY 10001 (together, “</w:t>
            </w:r>
            <w:r>
              <w:rPr>
                <w:rFonts w:ascii="Times New Roman;Times;serif" w:hAnsi="Times New Roman;Times;serif"/>
                <w:b/>
                <w:i/>
                <w:color w:val="000000"/>
                <w:sz w:val="16"/>
              </w:rPr>
              <w:t>BlackRock</w:t>
            </w:r>
            <w:r>
              <w:rPr>
                <w:rFonts w:ascii="Times New Roman;Times;serif" w:hAnsi="Times New Roman;Times;serif"/>
                <w:color w:val="000000"/>
                <w:sz w:val="16"/>
              </w:rPr>
              <w:t xml:space="preserve">”), reported aggregate beneficial ownership of 6,997,197 shares of our common stock. BlackRock reported that it possessed sole voting power over 6,901,491 shares and sole dispositive power over 6,997,197 shares. BlackRock also reported that it did not possess shared voting or dispositive power over any shares beneficially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48" w:name="ny20071620x1_def14a_109-security_pg2"/>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solely on a Schedule 13G filed with the SEC on October 24, 2025, River Global Investors LLP a United Kingdom limited liability partnership located at 30 Coleman Street, London, EC2R 5AL (“</w:t>
            </w:r>
            <w:r>
              <w:rPr>
                <w:rFonts w:ascii="Times New Roman;Times;serif" w:hAnsi="Times New Roman;Times;serif"/>
                <w:b/>
                <w:i/>
                <w:color w:val="000000"/>
                <w:sz w:val="16"/>
              </w:rPr>
              <w:t>River Global</w:t>
            </w:r>
            <w:r>
              <w:rPr>
                <w:rFonts w:ascii="Times New Roman;Times;serif" w:hAnsi="Times New Roman;Times;serif"/>
                <w:color w:val="000000"/>
                <w:sz w:val="16"/>
              </w:rPr>
              <w:t xml:space="preserve">”) reported sole voting power and sole dispositive power of 5,497,452 shares of our common stock. River Global also reported that it did not possess shared voting or dispositive power over any shares beneficially owned.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21,367 shares of common stock, (ii) 299,091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121,669 shares of common stock, (ii) 306,891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17,054 shares of common stock, (ii) 105,067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201,367 shares of common stock, (ii) 299,991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369,118 shares of common stock, (ii) 306,891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10,683 shares of common stock, (ii) 299,091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141,950 shares of common stock, (ii) 222,708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21,367 shares of common stock, (ii) 241,491 shares of common stock issuable upon the exercise of options exercisable as of June 20, 2026 and (iii) 29,210 restricted stock units vesting by June 20, 2026.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175,000 shares of common stock and (ii) 1,001,961 shares of common stock issuable upon the exercise of options exercisable as of June 20, 2026. </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82,919 shares of common stock and (ii) 450,520 shares of common stock issuable upon the exercise of options exercisable as of June 20, 2026. </w:t>
            </w:r>
          </w:p>
        </w:tc>
      </w:tr>
    </w:tbl>
    <w:tbl>
      <w:tblPr>
        <w:tblW w:w="6865" w:type="dxa"/>
        <w:jc w:val="left"/>
        <w:tblInd w:w="0" w:type="dxa"/>
        <w:tblLayout w:type="fixed"/>
        <w:tblCellMar>
          <w:top w:w="0" w:type="dxa"/>
          <w:left w:w="0" w:type="dxa"/>
          <w:bottom w:w="0" w:type="dxa"/>
          <w:right w:w="0" w:type="dxa"/>
        </w:tblCellMar>
      </w:tblPr>
      <w:tblGrid>
        <w:gridCol w:w="350"/>
        <w:gridCol w:w="651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holdings as of August 11, 2025, Mr. Soleymannezhad’s last day of employment.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1,079,575 shares of common stock, (ii) 3,083,182 shares of common stock issuable upon the exercise of options exercisable as of June 20, 2026 and (iii) 233,680 restricted stock units vesting by June 20, 2026.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Filings under 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solely on a review of the copies of such reports filed on the SEC’s EDGAR system and written representations that no other reports were required, during the fiscal year ended December 31, 2025, all Section 16(a) filing requirements applicable to its officers, directors and greater than ten percent beneficial owners were complied with, except for one late Form 4 filing for Rekha Hemrajani filed on August 27, 2025, reporting the sale of shares under a Rule 10b5-1 trading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9" w:name="ny20071620x1_def14a_110-comp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EC"/>
      <w:bookmarkEnd w:id="50"/>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named executive officers (“</w:t>
      </w:r>
      <w:r>
        <w:rPr>
          <w:rFonts w:ascii="Times New Roman;Times;serif" w:hAnsi="Times New Roman;Times;serif"/>
          <w:b/>
          <w:i/>
          <w:color w:val="000000"/>
          <w:sz w:val="20"/>
        </w:rPr>
        <w:t>NEOs</w:t>
      </w:r>
      <w:r>
        <w:rPr>
          <w:rFonts w:ascii="Times New Roman;Times;serif" w:hAnsi="Times New Roman;Times;serif"/>
          <w:color w:val="000000"/>
          <w:sz w:val="20"/>
        </w:rPr>
        <w:t xml:space="preserve">”) for the fiscal year ended December 31, 2025, consisting of our principal executive officer, the next most highly compensated executive officer serving as of December 31, 2025 and one former executive officer who left the Company during the fiscal year ended December 31, 2025, were: </w:t>
      </w:r>
    </w:p>
    <w:tbl>
      <w:tblPr>
        <w:tblW w:w="5020" w:type="dxa"/>
        <w:jc w:val="left"/>
        <w:tblInd w:w="0" w:type="dxa"/>
        <w:tblLayout w:type="fixed"/>
        <w:tblCellMar>
          <w:top w:w="0" w:type="dxa"/>
          <w:left w:w="0" w:type="dxa"/>
          <w:bottom w:w="0" w:type="dxa"/>
          <w:right w:w="0" w:type="dxa"/>
        </w:tblCellMar>
      </w:tblPr>
      <w:tblGrid>
        <w:gridCol w:w="140"/>
        <w:gridCol w:w="4880"/>
      </w:tblGrid>
      <w:tr>
        <w:trPr/>
        <w:tc>
          <w:tcPr>
            <w:tcW w:w="14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Maher Masoud, our President and Chief Executive Officer; </w:t>
            </w:r>
          </w:p>
        </w:tc>
      </w:tr>
    </w:tbl>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Douglas Swirsky, our former Chief Financial Officer; and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 Soleymannezhad, our former Chief Commercial Officer.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all of the compensation awarded to or earned by or paid to our NEOs for the fiscal years ended December 31, 2025 and 2024. </w:t>
      </w:r>
    </w:p>
    <w:tbl>
      <w:tblPr>
        <w:tblW w:w="10205" w:type="dxa"/>
        <w:jc w:val="left"/>
        <w:tblInd w:w="0" w:type="dxa"/>
        <w:tblLayout w:type="fixed"/>
        <w:tblCellMar>
          <w:top w:w="0" w:type="dxa"/>
          <w:left w:w="0" w:type="dxa"/>
          <w:bottom w:w="0" w:type="dxa"/>
          <w:right w:w="0" w:type="dxa"/>
        </w:tblCellMar>
      </w:tblPr>
      <w:tblGrid>
        <w:gridCol w:w="1904"/>
        <w:gridCol w:w="170"/>
        <w:gridCol w:w="170"/>
        <w:gridCol w:w="470"/>
        <w:gridCol w:w="170"/>
        <w:gridCol w:w="170"/>
        <w:gridCol w:w="725"/>
        <w:gridCol w:w="170"/>
        <w:gridCol w:w="170"/>
        <w:gridCol w:w="875"/>
        <w:gridCol w:w="170"/>
        <w:gridCol w:w="170"/>
        <w:gridCol w:w="725"/>
        <w:gridCol w:w="170"/>
        <w:gridCol w:w="170"/>
        <w:gridCol w:w="1096"/>
        <w:gridCol w:w="170"/>
        <w:gridCol w:w="170"/>
        <w:gridCol w:w="1096"/>
        <w:gridCol w:w="170"/>
        <w:gridCol w:w="170"/>
        <w:gridCol w:w="934"/>
      </w:tblGrid>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0"/>
              <w:jc w:val="left"/>
              <w:rPr/>
            </w:pPr>
            <w:r>
              <w:rPr/>
              <w:t> </w:t>
            </w:r>
          </w:p>
        </w:tc>
      </w:tr>
      <w:tr>
        <w:trPr/>
        <w:tc>
          <w:tcPr>
            <w:tcW w:w="19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04"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Maher Masoud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1,143,275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313,290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15,792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2,687,657 </w:t>
            </w:r>
          </w:p>
        </w:tc>
      </w:tr>
      <w:tr>
        <w:trPr/>
        <w:tc>
          <w:tcPr>
            <w:tcW w:w="1904"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897,294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389,400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10,604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3,611,298 </w:t>
            </w:r>
          </w:p>
        </w:tc>
      </w:tr>
      <w:tr>
        <w:trPr/>
        <w:tc>
          <w:tcPr>
            <w:tcW w:w="1904"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Douglas Swirsky,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269,914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201,893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1,225,057 </w:t>
            </w:r>
          </w:p>
        </w:tc>
      </w:tr>
      <w:tr>
        <w:trPr/>
        <w:tc>
          <w:tcPr>
            <w:tcW w:w="190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484,875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501,142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224,078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16,479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1,686,574 </w:t>
            </w:r>
          </w:p>
        </w:tc>
      </w:tr>
      <w:tr>
        <w:trPr/>
        <w:tc>
          <w:tcPr>
            <w:tcW w:w="1904"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 Soleymannezhad</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Commercial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249,220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376,367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1,135,169 </w:t>
            </w:r>
          </w:p>
        </w:tc>
      </w:tr>
      <w:tr>
        <w:trPr/>
        <w:tc>
          <w:tcPr>
            <w:tcW w:w="1904"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177,536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213,286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11,081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1,021,833</w:t>
            </w:r>
          </w:p>
        </w:tc>
      </w:tr>
      <w:tr>
        <w:trPr/>
        <w:tc>
          <w:tcPr>
            <w:tcW w:w="190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reported represent the aggregate grant date fair value of the time-based restricted stock units (“</w:t>
            </w:r>
            <w:r>
              <w:rPr>
                <w:rFonts w:ascii="Times New Roman;Times;serif" w:hAnsi="Times New Roman;Times;serif"/>
                <w:b/>
                <w:i/>
                <w:color w:val="000000"/>
                <w:sz w:val="16"/>
              </w:rPr>
              <w:t>RSUs</w:t>
            </w:r>
            <w:r>
              <w:rPr>
                <w:rFonts w:ascii="Times New Roman;Times;serif" w:hAnsi="Times New Roman;Times;serif"/>
                <w:color w:val="000000"/>
                <w:sz w:val="16"/>
              </w:rPr>
              <w:t>”), performance-based restricted stock units (“</w:t>
            </w:r>
            <w:r>
              <w:rPr>
                <w:rFonts w:ascii="Times New Roman;Times;serif" w:hAnsi="Times New Roman;Times;serif"/>
                <w:b/>
                <w:i/>
                <w:color w:val="000000"/>
                <w:sz w:val="16"/>
              </w:rPr>
              <w:t>PSUs</w:t>
            </w:r>
            <w:r>
              <w:rPr>
                <w:rFonts w:ascii="Times New Roman;Times;serif" w:hAnsi="Times New Roman;Times;serif"/>
                <w:color w:val="000000"/>
                <w:sz w:val="16"/>
              </w:rPr>
              <w:t>”) and stock options granted to our NEOs during the indicated year, computed in accordance with Financial Accounting Standard Board Accounting Standards Codification Topic 718 (“</w:t>
            </w:r>
            <w:r>
              <w:rPr>
                <w:rFonts w:ascii="Times New Roman;Times;serif" w:hAnsi="Times New Roman;Times;serif"/>
                <w:b/>
                <w:i/>
                <w:color w:val="000000"/>
                <w:sz w:val="16"/>
              </w:rPr>
              <w:t>ASC 718</w:t>
            </w:r>
            <w:r>
              <w:rPr>
                <w:rFonts w:ascii="Times New Roman;Times;serif" w:hAnsi="Times New Roman;Times;serif"/>
                <w:color w:val="000000"/>
                <w:sz w:val="16"/>
              </w:rPr>
              <w:t xml:space="preserve">”). The fair value of the RSU and PSU awards is based on the closing stock price as of the date of grant and, in the case of the PSU awards, is calculated based on the probable satisfaction of the performance conditions for such awards as of the date of grant. Assuming the highest level of performance is achieved for the PSUs, the maximum grant date fair value for the PSU awards granted to the NEOs in 2025 would be as follows: $1,429,094, $154,219; and $142,395 for Mr. Masoud, Mr. Swirsky, and Mr. Soleymannezhad, respectively for 2025. The fair value of each stock option grant is estimated on the date of grant using the Black-Scholes option pricing model. The assumptions used in calculating the grant date fair value of the awards reported in this column are set forth in Notes 2 and 4 to our audited financial statements included in our Annual Report on Form 10-K for the year ended December 31, 2025. This amount does not reflect the actual economic value that may be realized by the NEOs upon the exercise of the options or the sale of the underlying shares. </w:t>
            </w:r>
          </w:p>
        </w:tc>
      </w:tr>
    </w:tbl>
    <w:tbl>
      <w:tblPr>
        <w:tblW w:w="7300" w:type="dxa"/>
        <w:jc w:val="left"/>
        <w:tblInd w:w="0" w:type="dxa"/>
        <w:tblLayout w:type="fixed"/>
        <w:tblCellMar>
          <w:top w:w="0" w:type="dxa"/>
          <w:left w:w="0" w:type="dxa"/>
          <w:bottom w:w="0" w:type="dxa"/>
          <w:right w:w="0" w:type="dxa"/>
        </w:tblCellMar>
      </w:tblPr>
      <w:tblGrid>
        <w:gridCol w:w="260"/>
        <w:gridCol w:w="70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amounts paid pursuant to our annual incentive compensation program, described below.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matching contributions under our 401(k) plan paid by us during 2025 and 2024. For 2025, the amount specified under the “All Other Compensation” includes payments upon termination of $370,367 pursuant to Mr. Soleymannezhad’s separation agreement.</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the 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determines the compensation of our executive officers and reviews such compensation on an annual basis. In setting executive base salaries and bonuses and granting equity incentive awards, our Compensation Committee considers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typically reviews and discusses management’s proposed compensation with the Chief Executive Officer for all executives other than the Chief Executive Officer. Our Compensation Committee, without members of management present, discusses and ultimately approves the compensation of our executive officers, with the exception of the Chief Executive Officer’s compensation, which is recommended to the full Board. The Compensation Committee retained Pearl Meyer, a compensation consulting firm, to evaluate and make recommendations with respect to our executive compensation program decisions for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51" w:name="ny20071620x1_def14a_110-comp_pg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Performance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our executive officers is eligible to receive a performance bonus under our annual incentive compensation program. Under our 2025 annual incentive compensation program, each of our NEOs was eligible to receive a cash incentive payment equal to (1) his target incentive, as a percentage of annual base salary, multiplied by (2) the percentage achievement of certain 2025 corporate goals established by our Compensation Committee in its sole discretion, and approved by our Board, subject to the NEO remaining employed by us through the payment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Masoud’s target incentive was set at 60% of his annual base salary and Mr. Swirsky’s was set at 45% of his annual base salary. Mr. Soleymannezhad’s target was set at 45% of his base salary, but he did not receive a performance bonus due to his termination of employment. The corporate goals used for purposes of the 2025 annual incentive compensation program included revenue, EBITDA, and targets related to product development, manufacturing and engineering, corporate development, employee retention, and partnership licensing. Our Compensation Committee determined that the percentage achievement of the applicable corporate goals was 88.5% for each of the participating NEOs. As a result, our Compensation Committee approved a cash incentive payment for each participating NEO in the amounts reflected above in the “Non-Equity Incentive Plan Compensation” column of the 2025 Summary Compensation Table. Each participating NEO’s cash incentive payment for 2025 was paid in the first quarter of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further align the interests of our executive officers with the interests of our stockholders and to further focus our executive officers on our long-term performance, we have historically granted equity compensation in the form of options, with the exercise price determined based on the fair market value of a share of common stock at the time of grant. In 2024, the Compensation Committee introduced PSUs and RSUs into the long-term incentive program in order to increase the portion of compensation with payouts tied to the achievement of pre-established performance goals and, in the case of RSUs, to enhance the retentive element of the Company’s executive compensation program. To further align his interests with the Company’s stockholders, Mr. Masoud’s 2025 equity awards were delivered entirely in the form of options and PSUs.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generally vest with respect to 25% of the shares underlying the options on the first anniversary of the date of grant and the remaining shares underlying the option vest in 36 equal monthly installments thereafter, subject to the NEO’s continuous service with us at each vesting date. In March 2025, Messrs. Masoud, Swirsky and Soleymannezhad received an option grant to purchase 347,500 shares, 150,000 shares, and 138,500 shares,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2025 PSU awards vest based on the Company’s achievement of a specified revenue goal and the NEO’s continued service over the January 1, 2025 to December 31, 2027 performance period. Under the terms of the PSUs, vesting may range from 75% to 125% of the target PSUs based on performance, with no vesting if the threshold revenue goal is not achieved. The revenue performance targets were determined based on the Company’s three year operating plan and were designed to be challenging but achievable with strong management performance. In March 2025, Messrs. Masoud, Swirsky, and Soleymannezhad received PSUs (at target) with respect to 347,500, 37,500, 34,625 shares,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2025 RSU awards vested with respect to 25% of the shares subject to the award on March 14, 2026, and the remainder is scheduled to vest in three equal annual installments thereafter, subject to the NEO’s continued service with the Company through each vesting date. In March 2025, Messrs. Swirsky and Soleymannezhad received RSUs with respect to 37,500 and 34,625 shares,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see the “2025 Outstanding Equity Awards at Fiscal Year-End” table for further information regarding the outstanding equity awards held by each of our NEOs.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Benefits and Other Compensation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Health and Welfare and Retirement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our NEOs are eligible to participate in our employee benefit plans, including our medical, dental, vision, disability and life insurance plans, in each case on the same basis as all of our other employees. We do not provide perquisites or personal benefits to our NEOs other than those provided generally to all employees.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a tax-qualified retirement plan, the 401(k) Plan, that provides eligible employees in the United States with an opportunity to save for retirement on a tax-advantaged basis. Under the 401(k) Plan, we may provide matching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52" w:name="ny20071620x1_def14a_110-comp_pg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other discretionary contributions. We currently match employee contributions equal to 50% of the first 10% of salary deferral contributions, with a maximum company contribution of 5% of the employee’s eligible compensation. Pre-tax contributions are allocated to each participant’s individual account and are then invested in selected investment alternatives according to the participant’s directions. The 401(k) Plan is intended to qualify under Sections 401(a) and 501(a) of the Code.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Outstanding Equity Awards at Fiscal Year 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regarding outstanding stock options, RSUs and PSUs held by our NEOs as of December 31, 2025. As of December 31, 2025, Mr. Soleymannezhad did not hold outstanding equity awards and has been excluded from the table below. </w:t>
      </w:r>
    </w:p>
    <w:tbl>
      <w:tblPr>
        <w:tblW w:w="10205" w:type="dxa"/>
        <w:jc w:val="left"/>
        <w:tblInd w:w="0" w:type="dxa"/>
        <w:tblLayout w:type="fixed"/>
        <w:tblCellMar>
          <w:top w:w="0" w:type="dxa"/>
          <w:left w:w="0" w:type="dxa"/>
          <w:bottom w:w="0" w:type="dxa"/>
          <w:right w:w="0" w:type="dxa"/>
        </w:tblCellMar>
      </w:tblPr>
      <w:tblGrid>
        <w:gridCol w:w="855"/>
        <w:gridCol w:w="170"/>
        <w:gridCol w:w="170"/>
        <w:gridCol w:w="927"/>
        <w:gridCol w:w="170"/>
        <w:gridCol w:w="170"/>
        <w:gridCol w:w="1055"/>
        <w:gridCol w:w="170"/>
        <w:gridCol w:w="170"/>
        <w:gridCol w:w="657"/>
        <w:gridCol w:w="170"/>
        <w:gridCol w:w="170"/>
        <w:gridCol w:w="842"/>
        <w:gridCol w:w="170"/>
        <w:gridCol w:w="170"/>
        <w:gridCol w:w="720"/>
        <w:gridCol w:w="170"/>
        <w:gridCol w:w="170"/>
        <w:gridCol w:w="720"/>
        <w:gridCol w:w="170"/>
        <w:gridCol w:w="170"/>
        <w:gridCol w:w="827"/>
        <w:gridCol w:w="170"/>
        <w:gridCol w:w="170"/>
        <w:gridCol w:w="882"/>
      </w:tblGrid>
      <w:tr>
        <w:trPr/>
        <w:tc>
          <w:tcPr>
            <w:tcW w:w="8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1"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7"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1"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7"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Maher Masoud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46,100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46,100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16.63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95,833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4,167</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133,125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8,875</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82,500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37,500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191,667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208,333</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347,500</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400,000</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620,000</w:t>
            </w:r>
            <w:r>
              <w:rPr>
                <w:rFonts w:ascii="Times New Roman;Times;serif" w:hAnsi="Times New Roman;Times;serif"/>
                <w:color w:val="000000"/>
                <w:position w:val="7"/>
                <w:sz w:val="16"/>
                <w:sz w:val="20"/>
              </w:rPr>
              <w:t>(9)</w:t>
            </w:r>
            <w:r>
              <w:rPr>
                <w:rFonts w:ascii="Times New Roman;Times;serif" w:hAnsi="Times New Roman;Times;serif"/>
                <w:color w:val="000000"/>
                <w:sz w:val="2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347,500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538,625</w:t>
            </w:r>
            <w:r>
              <w:rPr>
                <w:rFonts w:ascii="Times New Roman;Times;serif" w:hAnsi="Times New Roman;Times;serif"/>
                <w:color w:val="000000"/>
                <w:position w:val="7"/>
                <w:sz w:val="16"/>
                <w:sz w:val="20"/>
              </w:rPr>
              <w:t>(10)</w:t>
            </w:r>
            <w:r>
              <w:rPr>
                <w:rFonts w:ascii="Times New Roman;Times;serif" w:hAnsi="Times New Roman;Times;serif"/>
                <w:color w:val="000000"/>
                <w:sz w:val="20"/>
              </w:rPr>
              <w:t xml:space="preserve"> </w:t>
            </w:r>
          </w:p>
        </w:tc>
      </w:tr>
      <w:tr>
        <w:trPr/>
        <w:tc>
          <w:tcPr>
            <w:tcW w:w="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Swirsky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240,625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109,375</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3/27/2033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98,437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126,563</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4.31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150,000</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60,937</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94,452</w:t>
            </w:r>
            <w:r>
              <w:rPr>
                <w:rFonts w:ascii="Times New Roman;Times;serif" w:hAnsi="Times New Roman;Times;serif"/>
                <w:color w:val="000000"/>
                <w:position w:val="7"/>
                <w:sz w:val="16"/>
                <w:sz w:val="20"/>
              </w:rPr>
              <w:t>(8)</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31,250</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48,438</w:t>
            </w:r>
            <w:r>
              <w:rPr>
                <w:rFonts w:ascii="Times New Roman;Times;serif" w:hAnsi="Times New Roman;Times;serif"/>
                <w:color w:val="000000"/>
                <w:position w:val="7"/>
                <w:sz w:val="16"/>
                <w:sz w:val="20"/>
              </w:rPr>
              <w:t>(9)</w:t>
            </w:r>
            <w:r>
              <w:rPr>
                <w:rFonts w:ascii="Times New Roman;Times;serif" w:hAnsi="Times New Roman;Times;serif"/>
                <w:color w:val="000000"/>
                <w:sz w:val="20"/>
              </w:rPr>
              <w:t xml:space="preserve"> </w:t>
            </w:r>
          </w:p>
        </w:tc>
      </w:tr>
      <w:tr>
        <w:trPr/>
        <w:tc>
          <w:tcPr>
            <w:tcW w:w="8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37,500</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58,125</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1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0" w:right="0" w:hanging="0"/>
              <w:jc w:val="left"/>
              <w:rPr>
                <w:color w:val="000000"/>
              </w:rPr>
            </w:pPr>
            <w:r>
              <w:rPr>
                <w:color w:val="000000"/>
              </w:rPr>
              <w:t xml:space="preserve">— </w:t>
            </w:r>
          </w:p>
        </w:tc>
      </w:tr>
      <w:tr>
        <w:trPr/>
        <w:tc>
          <w:tcPr>
            <w:tcW w:w="8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37,500</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0" w:right="0" w:hanging="0"/>
              <w:jc w:val="left"/>
              <w:rPr>
                <w:rFonts w:ascii="Times New Roman;Times;serif" w:hAnsi="Times New Roman;Times;serif"/>
                <w:color w:val="000000"/>
                <w:sz w:val="20"/>
              </w:rPr>
            </w:pPr>
            <w:r>
              <w:rPr>
                <w:rFonts w:ascii="Times New Roman;Times;serif" w:hAnsi="Times New Roman;Times;serif"/>
                <w:color w:val="000000"/>
                <w:sz w:val="20"/>
              </w:rPr>
              <w:t>58,125</w:t>
            </w:r>
            <w:r>
              <w:rPr>
                <w:rFonts w:ascii="Times New Roman;Times;serif" w:hAnsi="Times New Roman;Times;serif"/>
                <w:color w:val="000000"/>
                <w:position w:val="7"/>
                <w:sz w:val="16"/>
                <w:sz w:val="20"/>
              </w:rPr>
              <w:t>(10)</w:t>
            </w:r>
          </w:p>
        </w:tc>
      </w:tr>
      <w:tr>
        <w:trPr/>
        <w:tc>
          <w:tcPr>
            <w:tcW w:w="8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February 25, 2022.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March 25, 2022.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March 20, 2023.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January 3, 2024.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53" w:name="ny20071620x1_def14a_110-comp_pg4"/>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March 14, 2025.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March 27, 2023.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an option to purchase shares of our common stock granted on March 15, 2024. The shares underlying this option vest as follows: 1/4</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shares vested one calendar year following the grant date and the remainder vests monthly in 36 monthly installments thereafter, subject to the applicable holder’s continued service to our company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time-based RSUs granted on March 15, 2024. Each RSU represents a contingent right to receive one share of our common stock. Twenty-five percent (25%) vested on March 15, 2025 and the remainder shall vest in three (3) equal annual installments thereafter, subject to the applicable holder’s continued service to our company through the applicable vesting date. The market value for these awards is based on the closing stock price as of December 31, 2025 of $1.55 per share.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PSUs vest upon the Company’s achievement of a specified revenue goal. Vesting may range from 75% to 125% of the target PSUs based on performance, with no vesting if the threshold revenue goal is not achieved, subject to the applicable holder’s continued service over the January 1, 2024 to December 31, 2026 performance period. The market value for these awards is based on the closing stock price as of December 31, 2025 of $1.55 per share.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PSUs vest upon the Company’s achievement of a specified revenue goal. Vesting may range from 75% to 125% of the target PSUs based on performance, with no vesting if the threshold revenue goal is not achieved, subject to the applicable holder’s continued service over the January 1, 2025 to December 31, 2027 performance period. The market value for these awards is based on the closing stock price as of December 31, 2025 of $1.55 per share.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time-based RSUs. Each RSU represents a contingent right to receive one share of our common stock. Twenty-five percent (25%) will vest on March 14, 2026 and the remainder shall vest in three (3) equal annual installments thereafter, subject to the applicable holder’s continued service to our company through the applicable vesting date. The market value for these awards is based on the closing stock price as of December 31, 2025 of $1.55 per share.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practice is to enter into a severance agreement with each of the NEOs in connection with their employment with us, which sets forth the terms and conditions of his specified payments and benefits in connection with a termination of employment in certain circumstances. In each case, the officer must sign and not revoke a release of claims in our favor in order to receive these payments and benefits. Our goal in providing these severance and change in control payments and benefits is to offer sufficient cash continuity protection such that the NEOs will focus their full time and attention on the requirements of the business rather than the potential implications of a qualifying employment termination or change in control for their respective positions. We prefer to have certainty regarding the potential severance amounts payable to the NEOs, rather than negotiating severance at the time that an NEO’s employment terminates. We have also determined that accelerated vesting provisions with respect to outstanding equity awards in connection with a qualifying termination of employment in certain circumstances are appropriate because they encourage our NEOs to stay focused on the business in those circumstances, rather than focusing on the potential implications of the termination of employment for them personally.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Maher Masoud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and Mr. Masoud entered into a severance agreement dated January 11, 2021, setting forth the terms of his severance eligibility. In connection with Mr. Masoud’s appointment as our President and Chief Executive Officer effective as of January 1, 2024, the Board approved, at the recommendation of the Compensation Committee, and on December 11, 2023, we and Mr. Masoud entered into, a letter agreement that amended the terms of Mr. Masoud’s severance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terms of the amended severance agreement, if Mr. Masoud is terminated by us other than for “cause” or if he resigns for “good reason” (each such termination, a “</w:t>
      </w:r>
      <w:r>
        <w:rPr>
          <w:rFonts w:ascii="Times New Roman;Times;serif" w:hAnsi="Times New Roman;Times;serif"/>
          <w:b/>
          <w:i/>
          <w:color w:val="000000"/>
          <w:sz w:val="20"/>
        </w:rPr>
        <w:t>Triggering Event</w:t>
      </w:r>
      <w:r>
        <w:rPr>
          <w:rFonts w:ascii="Times New Roman;Times;serif" w:hAnsi="Times New Roman;Times;serif"/>
          <w:color w:val="000000"/>
          <w:sz w:val="20"/>
        </w:rPr>
        <w:t>”), and if such Triggering Event occurs on or within three months prior to, or 24 months following, a “change of control,” then Mr. Masoud will be eligible to receive a severance amount equal to (a) 18 months of his then current base salary plus (b) 1.5 times his then current “target bonus,” which is defined as greater of (i) the actual bonus amount earned under our annual bonus plan with respect to the calendar year prior to the calendar year in which the termination occurs, (ii) the actual bonus amount earned under our bonus plan for the calendar year in which the termination occurs, or (iii) the target bonus amount under the Company’s bonus plan for the calendar year in which the termination occurs. The foregoing target bonus amount will not be subject to proration, and the severance amount described in the preceding sentence will be paid in equal monthly installments over an 18-month period (the “</w:t>
      </w:r>
      <w:r>
        <w:rPr>
          <w:rFonts w:ascii="Times New Roman;Times;serif" w:hAnsi="Times New Roman;Times;serif"/>
          <w:b/>
          <w:i/>
          <w:color w:val="000000"/>
          <w:sz w:val="20"/>
        </w:rPr>
        <w:t>CIC Severance Period</w:t>
      </w:r>
      <w:r>
        <w:rPr>
          <w:rFonts w:ascii="Times New Roman;Times;serif" w:hAnsi="Times New Roman;Times;serif"/>
          <w:color w:val="000000"/>
          <w:sz w:val="20"/>
        </w:rPr>
        <w:t>”), subject to standard payroll deductions and withholdings. In the event of a Triggering Event that occurs more than three months prior to or more than 24 months following a change of control, then Mr. Masoud will be eligible to receive a severance amount equal to 12 months of his then current base salary, payable in equal monthly installments over a 12-month period (the “</w:t>
      </w:r>
      <w:r>
        <w:rPr>
          <w:rFonts w:ascii="Times New Roman;Times;serif" w:hAnsi="Times New Roman;Times;serif"/>
          <w:b/>
          <w:i/>
          <w:color w:val="000000"/>
          <w:sz w:val="20"/>
        </w:rPr>
        <w:t>Non-CIC Severance Period</w:t>
      </w:r>
      <w:r>
        <w:rPr>
          <w:rFonts w:ascii="Times New Roman;Times;serif" w:hAnsi="Times New Roman;Times;serif"/>
          <w:color w:val="000000"/>
          <w:sz w:val="20"/>
        </w:rPr>
        <w:t xml:space="preserve">”), subject to standard payroll deductions and withholdings. In addition, upon a Triggering Event that occurs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4" w:name="ny20071620x1_def14a_110-comp_pg5"/>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within 180 days prior to, or 24 months following, a change of control, all of the unvested shares subject to any stock options granted to Mr. Masoud that remain outstanding and would otherwise not be vested and exercisable as of the date of termination will be treated as vested and exercisable as of the date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occurrence of a Triggering Event, if Mr. Masoud timely elects continued coverage under COBRA for himself and his covered dependents under our group health plans following the date of termination, then we will also pay the federal COBRA (or, if applicable, state continuation coverage) premiums to continue healthcare coverage for Mr. Masoud and his covered dependents for the CIC Severance Period or Non-CIC Severance Period, as applicable, or, if earlier, until the date when he becomes eligible for substantially equivalent health insurance coverage in connection with new employment or self-employment or the date on which he ceases to be eligible for COBRA or state continuation coverage for any reason.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Douglas Swirsky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and Mr. Swirsky entered into a severance agreement dated March 27, 2023, setting forth the terms of Mr. Swirsky’s severance eligibility.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12, 2025, the Company entered into an amendment to Mr. Swirsky’s severance agreement pursuant to which Mr. Swirsky will transition from his position as Chief Financial Officer of the Company, effective as of the earlier of May 31, 2026 and the appointment of a new Chief Financial Officer (the “Retention Date”). Mr. Swirsky will continue to be eligible for bonus payments for fiscal year 2025 and the applicable portion of 2026 in which he was employed by the Company. In addition, to support the retention of Mr. Swirsky through the Retention Date and in exchange for executing a separation and release agreement, he will be entitled to a one-time payment of $150,000, payable following the Retention Date. Following the Retention Date, Mr. Swirsky will provide the Company with consulting services for a period of eighteen consecutive months during which his equity awards will continue to vest in accordance with their terms based on his continued service and the Company will reimburse Mr. Swirsky for the cost of his COBRA benefits. Mr. Swirsky will be eligible to receive a monthly fee of $10,000 per month, payable in arrears, for services to the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Ali Soleymannezhad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11, 2025, Mr. Soleymannezhad’s employment with the Company was terminated without cause and, in accordance with his severance agreement entered into in July 2024 and subject to his execution and non-revocation of a release of claims, Mr. Soleymannezhad became entitled to (i) his base salary for a period of nine months following the date of his termination (the “Severance Period”), and (ii) COBRA premium coverage.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Timing of Grants of Certain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and senior management monitor the Company’s equity grant practices to evaluate whether such policies comply with governing regulations and are consistent with good corporate practices. When making regular annual equity grants to the Company’s executive officers, the Compensation Committee’s practice is to approve them at its meeting in March of each year as part of the annual compensation review. In addition, the Compensation Committee may make grants at any time during the year it deems appropriate, including with respect to new hires, transitions or for retentive purposes. The Company does not schedule its equity grants in anticipation of the release of material non-public information (“</w:t>
      </w:r>
      <w:r>
        <w:rPr>
          <w:rFonts w:ascii="Times New Roman;Times;serif" w:hAnsi="Times New Roman;Times;serif"/>
          <w:b/>
          <w:i/>
          <w:color w:val="000000"/>
          <w:sz w:val="20"/>
        </w:rPr>
        <w:t>MNPI</w:t>
      </w:r>
      <w:r>
        <w:rPr>
          <w:rFonts w:ascii="Times New Roman;Times;serif" w:hAnsi="Times New Roman;Times;serif"/>
          <w:color w:val="000000"/>
          <w:sz w:val="20"/>
        </w:rPr>
        <w:t xml:space="preserve">”) nor does the Company time the release of MNPI based on equity grant dates. During the year ended December 31, 2025, we did not grant stock options to any of our NEOs during any period beginning four business days before the filing or furnishing of a periodic report or current report disclosing MNPI and ending one business day after the filing or furnishing of such report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5" w:name="ny20071620x1_def14a_110-comp_pg6"/>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6" w:name="tDC"/>
      <w:bookmarkEnd w:id="56"/>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provided our non-employee directors with an annual cash retainer as well as additional annual retainers for service as chair of the Board and service as chair or member of the Board’s committees. The fees for committee service are in addition to the annual cash retainer for Board service. Members of committees can receive either a chair or a member retainer for service on the committee, but not both. </w:t>
      </w:r>
    </w:p>
    <w:tbl>
      <w:tblPr>
        <w:tblW w:w="6695" w:type="dxa"/>
        <w:jc w:val="left"/>
        <w:tblInd w:w="0" w:type="dxa"/>
        <w:tblLayout w:type="fixed"/>
        <w:tblCellMar>
          <w:top w:w="0" w:type="dxa"/>
          <w:left w:w="0" w:type="dxa"/>
          <w:bottom w:w="0" w:type="dxa"/>
          <w:right w:w="0" w:type="dxa"/>
        </w:tblCellMar>
      </w:tblPr>
      <w:tblGrid>
        <w:gridCol w:w="4265"/>
        <w:gridCol w:w="170"/>
        <w:gridCol w:w="170"/>
        <w:gridCol w:w="725"/>
        <w:gridCol w:w="170"/>
        <w:gridCol w:w="170"/>
        <w:gridCol w:w="1025"/>
      </w:tblGrid>
      <w:tr>
        <w:trPr/>
        <w:tc>
          <w:tcPr>
            <w:tcW w:w="4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26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Annual Cash</w:t>
            </w:r>
          </w:p>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 xml:space="preserve">Retainer ($)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80,000 </w:t>
            </w:r>
          </w:p>
        </w:tc>
      </w:tr>
      <w:tr>
        <w:trPr/>
        <w:tc>
          <w:tcPr>
            <w:tcW w:w="4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 </w:t>
            </w:r>
          </w:p>
        </w:tc>
      </w:tr>
      <w:tr>
        <w:trPr/>
        <w:tc>
          <w:tcPr>
            <w:tcW w:w="4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4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 </w:t>
            </w:r>
          </w:p>
        </w:tc>
      </w:tr>
      <w:tr>
        <w:trPr/>
        <w:tc>
          <w:tcPr>
            <w:tcW w:w="42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Nominating &amp; Corporate Governance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r>
      <w:tr>
        <w:trPr/>
        <w:tc>
          <w:tcPr>
            <w:tcW w:w="4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annual cash retainers, in accordance with our equity grant policy, our non-employee directors are granted options to purchase shares of our common stock under our 2022 Plan in an amount determined by our Board annually. In June 2025, at the time of our 2025 Annual Meeting, each of our non-employee directors was granted an option to purchase 50,790 shares of our common stock and 29,210 RSUs. Our non-employee directors are also reimbursed upon request for out-of-pocket expenses incurred in connection with their attendance at Board meetings.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Director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earned for service on our Board in 2025 by our non-employee directors. Maher Masoud, our President and Chief Executive Officer, was also a member of our Board in 2025 but did not receive any additional compensation for service as a director. Information about compensation for Mr. Masoud with respect to 2025 is set forth above under “2025 Summary Compensation Table.” </w:t>
      </w:r>
    </w:p>
    <w:tbl>
      <w:tblPr>
        <w:tblW w:w="6755" w:type="dxa"/>
        <w:jc w:val="left"/>
        <w:tblInd w:w="0" w:type="dxa"/>
        <w:tblLayout w:type="fixed"/>
        <w:tblCellMar>
          <w:top w:w="0" w:type="dxa"/>
          <w:left w:w="0" w:type="dxa"/>
          <w:bottom w:w="0" w:type="dxa"/>
          <w:right w:w="0" w:type="dxa"/>
        </w:tblCellMar>
      </w:tblPr>
      <w:tblGrid>
        <w:gridCol w:w="1865"/>
        <w:gridCol w:w="170"/>
        <w:gridCol w:w="170"/>
        <w:gridCol w:w="845"/>
        <w:gridCol w:w="170"/>
        <w:gridCol w:w="170"/>
        <w:gridCol w:w="935"/>
        <w:gridCol w:w="170"/>
        <w:gridCol w:w="170"/>
        <w:gridCol w:w="935"/>
        <w:gridCol w:w="170"/>
        <w:gridCol w:w="170"/>
        <w:gridCol w:w="8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Cash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Yasir Al-Wakeel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169,324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J. Balthrop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169,324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Brooke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67,500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186,824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Collins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166,824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Douglas,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204,324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Erck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57,500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176,824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Rekha Hemrajani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179,324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Johnston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57,691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169,324</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column reflects the full grant date fair value of RSUs and options, as applicable, granted during the year measured pursuant to ASC 718, the basis for computing stock-based compensation in our financial statements. The fair value of each stock option grant is estimated on the date of grant using the Black- Scholes option pricing model and the fair value of RSUs is based on the closing stock price on the date of grant. The assumptions used in calculating the grant date fair value of the stock options reported in this column are set forth in Notes 2 and 4 to our audited financial statements included in our Annual Report on Form 10-K for the year ended December 31, 2025. This amount does not reflect the actual economic value that may be realized by the director upon the exercise of the options or the sale of the underlying shares.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aggregate number of option awards and RSUs granted to our non-employee directors that were outstanding as of December 31, 2025: </w:t>
            </w:r>
          </w:p>
        </w:tc>
      </w:tr>
    </w:tbl>
    <w:tbl>
      <w:tblPr>
        <w:tblW w:w="3890" w:type="dxa"/>
        <w:jc w:val="left"/>
        <w:tblInd w:w="0" w:type="dxa"/>
        <w:tblLayout w:type="fixed"/>
        <w:tblCellMar>
          <w:top w:w="0" w:type="dxa"/>
          <w:left w:w="0" w:type="dxa"/>
          <w:bottom w:w="0" w:type="dxa"/>
          <w:right w:w="0" w:type="dxa"/>
        </w:tblCellMar>
      </w:tblPr>
      <w:tblGrid>
        <w:gridCol w:w="1610"/>
        <w:gridCol w:w="170"/>
        <w:gridCol w:w="170"/>
        <w:gridCol w:w="635"/>
        <w:gridCol w:w="170"/>
        <w:gridCol w:w="170"/>
        <w:gridCol w:w="965"/>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 xml:space="preserve">Stock Units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Yasir Al-Wakeel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299,091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Patrick J. Balthrop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241,491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Will Brooke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306,891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Cynthia Collins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148,488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63,835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Douglas,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299,991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Stanley Erck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327,291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Rekha Hemrajani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299,091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29,210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John Johnston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 w:right="0" w:hanging="0"/>
              <w:jc w:val="left"/>
              <w:rPr>
                <w:rFonts w:ascii="Times New Roman;Times;serif" w:hAnsi="Times New Roman;Times;serif"/>
                <w:color w:val="000000"/>
                <w:sz w:val="16"/>
              </w:rPr>
            </w:pPr>
            <w:r>
              <w:rPr>
                <w:rFonts w:ascii="Times New Roman;Times;serif" w:hAnsi="Times New Roman;Times;serif"/>
                <w:color w:val="000000"/>
                <w:sz w:val="16"/>
              </w:rPr>
              <w:t>222,708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29,210</w:t>
            </w:r>
          </w:p>
        </w:tc>
      </w:tr>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7" w:name="ny20071620x1_def14a_111-transaction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TWR"/>
      <w:bookmarkEnd w:id="58"/>
      <w:r>
        <w:rPr>
          <w:rFonts w:ascii="Times New Roman;Times;serif" w:hAnsi="Times New Roman;Times;serif"/>
          <w:b/>
          <w:color w:val="000000"/>
          <w:sz w:val="20"/>
        </w:rPr>
        <w:t xml:space="preserve">TRANSACTIONS WITH RELATED PERSONS </w:t>
      </w:r>
    </w:p>
    <w:p>
      <w:pPr>
        <w:pStyle w:val="TextBody"/>
        <w:bidi w:val="0"/>
        <w:spacing w:before="390" w:after="283"/>
        <w:ind w:left="0" w:right="0" w:hanging="0"/>
        <w:jc w:val="left"/>
        <w:rPr>
          <w:rFonts w:ascii="Times New Roman;Times;serif" w:hAnsi="Times New Roman;Times;serif"/>
          <w:b/>
          <w:color w:val="000000"/>
          <w:sz w:val="20"/>
        </w:rPr>
      </w:pPr>
      <w:bookmarkStart w:id="59" w:name="tRTP"/>
      <w:bookmarkEnd w:id="59"/>
      <w:r>
        <w:rPr>
          <w:rFonts w:ascii="Times New Roman;Times;serif" w:hAnsi="Times New Roman;Times;serif"/>
          <w:b/>
          <w:color w:val="000000"/>
          <w:sz w:val="20"/>
        </w:rPr>
        <w:t xml:space="preserve">Related-Person Transactions Policy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or Audit Committee for review, consideration and approval. In approving or rejecting any such proposal, our Board or Audit Committee, as applicable,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410" w:after="283"/>
        <w:ind w:left="0" w:right="0" w:hanging="0"/>
        <w:jc w:val="left"/>
        <w:rPr>
          <w:rFonts w:ascii="Times New Roman;Times;serif" w:hAnsi="Times New Roman;Times;serif"/>
          <w:b/>
          <w:color w:val="000000"/>
          <w:sz w:val="20"/>
        </w:rPr>
      </w:pPr>
      <w:bookmarkStart w:id="60" w:name="tCRT"/>
      <w:bookmarkEnd w:id="60"/>
      <w:r>
        <w:rPr>
          <w:rFonts w:ascii="Times New Roman;Times;serif" w:hAnsi="Times New Roman;Times;serif"/>
          <w:b/>
          <w:color w:val="000000"/>
          <w:sz w:val="20"/>
        </w:rPr>
        <w:t xml:space="preserve">Certain Related-Person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have been no transactions since January 1, 2025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 other than compensation arrangements that are described under “Executive Compensation” and “Director Compensation.” For a description of severance and change in control arrangements that we have entered into with some of our executive officers, see “Executive Compensation — Potential Payments upon Termination or Change in Control.” </w:t>
      </w:r>
    </w:p>
    <w:p>
      <w:pPr>
        <w:pStyle w:val="TextBody"/>
        <w:bidi w:val="0"/>
        <w:spacing w:before="410" w:after="283"/>
        <w:ind w:left="0" w:right="0" w:hanging="0"/>
        <w:jc w:val="left"/>
        <w:rPr>
          <w:rFonts w:ascii="Times New Roman;Times;serif" w:hAnsi="Times New Roman;Times;serif"/>
          <w:b/>
          <w:color w:val="000000"/>
          <w:sz w:val="20"/>
        </w:rPr>
      </w:pPr>
      <w:bookmarkStart w:id="61" w:name="tIA"/>
      <w:bookmarkEnd w:id="61"/>
      <w:r>
        <w:rPr>
          <w:rFonts w:ascii="Times New Roman;Times;serif" w:hAnsi="Times New Roman;Times;serif"/>
          <w:b/>
          <w:color w:val="000000"/>
          <w:sz w:val="20"/>
        </w:rPr>
        <w:t xml:space="preserve">Indemnification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certain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2" w:name="ny20071620x1_def14a_111-transaction_pg2"/>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HOP"/>
      <w:bookmarkEnd w:id="63"/>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the Company’s proxy materials or other Annual Meeting materials with respect to two or more stockholders sharing the same address by delivering a single copy of the Company’s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year, a number of brokers with account holders who are MaxCyte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MaxCyte. Direct your written request to MaxCyte, Inc., Attn: Corporate Secretary; 9713 Key West Avenue, Suite 400, Rockville, Maryland 20850, Attention: Investor Relations. Stockholders who currently receive multiple copies of the Annual Meeting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64" w:name="ny20071620x1_def14a_112-other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OM"/>
      <w:bookmarkEnd w:id="65"/>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 </w:t>
      </w:r>
    </w:p>
    <w:tbl>
      <w:tblPr>
        <w:tblW w:w="4430" w:type="dxa"/>
        <w:jc w:val="left"/>
        <w:tblInd w:w="0" w:type="dxa"/>
        <w:tblLayout w:type="fixed"/>
        <w:tblCellMar>
          <w:top w:w="0" w:type="dxa"/>
          <w:left w:w="0" w:type="dxa"/>
          <w:bottom w:w="0" w:type="dxa"/>
          <w:right w:w="0" w:type="dxa"/>
        </w:tblCellMar>
      </w:tblPr>
      <w:tblGrid>
        <w:gridCol w:w="185"/>
        <w:gridCol w:w="170"/>
        <w:gridCol w:w="170"/>
        <w:gridCol w:w="39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8954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3905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Maher Masoud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29, 2026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copy of the Company’s Annual Report to the Securities and Exchange Commission on Form 10-K for the fiscal year ended December 31, 2025 is available without charge upon written request to: Corporate Secretary, MaxCyte, Inc., 9713 Key West Avenue, Suite 400, Rockville, Maryland 20850.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66" w:name="ny20071620x1_def14a_400-proxycard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67" w:name="ny20071620x1_def14a_400-proxycard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17574</Words>
  <Characters>94478</Characters>
  <CharactersWithSpaces>112792</CharactersWithSpaces>
  <Paragraphs>2306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