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Ahuja Parmeet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MAXCYTE,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9713 KEY WEST AVENUE,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MAXCYTE, INC.</w:t>
              </w:r>
            </w:hyperlink>
            <w:r>
              <w:rPr/>
              <w:t xml:space="preserve"> [ </w:t>
            </w:r>
            <w:r>
              <w:rPr>
                <w:rFonts w:ascii="Times;serif" w:hAnsi="Times;serif"/>
                <w:color w:val="0000FF"/>
                <w:sz w:val="24"/>
                <w:shd w:fill="FFFFFF" w:val="clear"/>
              </w:rPr>
              <w:t>MXCT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187,500</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187,500</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restricted stock units ("RSUs"). Each RSU represents a contingent right to receive one share of the Issuer's Common Stock. Twenty-five percent (25%) of the RSUs shall vest on March 30, 2027, and the remainder shall vest in three (3) equal annual installments thereafter, subject to the Reporting Person's continued service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Parmeet Ahuja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8046" TargetMode="External"/><Relationship Id="rId5" Type="http://schemas.openxmlformats.org/officeDocument/2006/relationships/hyperlink" Target="http://www.sec.gov/cgi-bin/browse-edgar?action=getcompany&amp;CIK=00012870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3380</Characters>
  <CharactersWithSpaces>3943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