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As filed with the Securities and Exchange Commission on April 15, 2026</w:t>
      </w:r>
    </w:p>
    <w:p>
      <w:pPr>
        <w:spacing w:after="0" w:line="22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69215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MaxCyte,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1360" w:type="dxa"/>
        <w:tblCellMar>
          <w:top w:w="0" w:type="dxa"/>
          <w:left w:w="0" w:type="dxa"/>
          <w:bottom w:w="0" w:type="dxa"/>
          <w:right w:w="0" w:type="dxa"/>
        </w:tblCellMar>
      </w:tblPr>
      <w:tr>
        <w:trPr>
          <w:trHeight w:val="218"/>
        </w:trPr>
        <w:tc>
          <w:tcPr>
            <w:tcW w:w="4600" w:type="dxa"/>
            <w:vAlign w:val="bottom"/>
          </w:tcPr>
          <w:p>
            <w:pPr>
              <w:jc w:val="center"/>
              <w:ind w:right="159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52-2210438</w:t>
            </w:r>
          </w:p>
        </w:tc>
      </w:tr>
      <w:tr>
        <w:trPr>
          <w:trHeight w:val="214"/>
        </w:trPr>
        <w:tc>
          <w:tcPr>
            <w:tcW w:w="4600" w:type="dxa"/>
            <w:vAlign w:val="bottom"/>
          </w:tcPr>
          <w:p>
            <w:pPr>
              <w:jc w:val="center"/>
              <w:ind w:right="1591"/>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80" w:type="dxa"/>
            <w:vAlign w:val="bottom"/>
          </w:tcPr>
          <w:p>
            <w:pPr>
              <w:jc w:val="center"/>
              <w:ind w:left="1571"/>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4600" w:type="dxa"/>
            <w:vAlign w:val="bottom"/>
          </w:tcPr>
          <w:p>
            <w:pPr>
              <w:jc w:val="center"/>
              <w:ind w:right="161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280" w:type="dxa"/>
            <w:vAlign w:val="bottom"/>
          </w:tcPr>
          <w:p>
            <w:pPr>
              <w:jc w:val="center"/>
              <w:ind w:left="1591"/>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05"/>
        </w:trPr>
        <w:tc>
          <w:tcPr>
            <w:tcW w:w="4600" w:type="dxa"/>
            <w:vAlign w:val="bottom"/>
          </w:tcPr>
          <w:p>
            <w:pPr>
              <w:jc w:val="center"/>
              <w:ind w:right="1591"/>
              <w:spacing w:after="0"/>
              <w:rPr>
                <w:sz w:val="20"/>
                <w:szCs w:val="20"/>
                <w:color w:val="auto"/>
              </w:rPr>
            </w:pPr>
            <w:r>
              <w:rPr>
                <w:rFonts w:ascii="Times New Roman" w:cs="Times New Roman" w:eastAsia="Times New Roman" w:hAnsi="Times New Roman"/>
                <w:sz w:val="18"/>
                <w:szCs w:val="18"/>
                <w:b w:val="1"/>
                <w:bCs w:val="1"/>
                <w:color w:val="auto"/>
                <w:w w:val="98"/>
              </w:rPr>
              <w:t>9713 Key West Avenue, Suite 400</w:t>
            </w:r>
          </w:p>
        </w:tc>
        <w:tc>
          <w:tcPr>
            <w:tcW w:w="3280" w:type="dxa"/>
            <w:vAlign w:val="bottom"/>
          </w:tcPr>
          <w:p>
            <w:pPr>
              <w:spacing w:after="0"/>
              <w:rPr>
                <w:sz w:val="24"/>
                <w:szCs w:val="24"/>
                <w:color w:val="auto"/>
              </w:rPr>
            </w:pPr>
          </w:p>
        </w:tc>
      </w:tr>
      <w:tr>
        <w:trPr>
          <w:trHeight w:val="218"/>
        </w:trPr>
        <w:tc>
          <w:tcPr>
            <w:tcW w:w="4600" w:type="dxa"/>
            <w:vAlign w:val="bottom"/>
          </w:tcPr>
          <w:p>
            <w:pPr>
              <w:jc w:val="center"/>
              <w:ind w:right="1591"/>
              <w:spacing w:after="0"/>
              <w:rPr>
                <w:sz w:val="20"/>
                <w:szCs w:val="20"/>
                <w:color w:val="auto"/>
              </w:rPr>
            </w:pPr>
            <w:r>
              <w:rPr>
                <w:rFonts w:ascii="Times New Roman" w:cs="Times New Roman" w:eastAsia="Times New Roman" w:hAnsi="Times New Roman"/>
                <w:sz w:val="18"/>
                <w:szCs w:val="18"/>
                <w:b w:val="1"/>
                <w:bCs w:val="1"/>
                <w:color w:val="auto"/>
                <w:w w:val="98"/>
              </w:rPr>
              <w:t>Rockville, Maryland</w:t>
            </w:r>
          </w:p>
        </w:tc>
        <w:tc>
          <w:tcPr>
            <w:tcW w:w="328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233"/>
        </w:trPr>
        <w:tc>
          <w:tcPr>
            <w:tcW w:w="4600" w:type="dxa"/>
            <w:vAlign w:val="bottom"/>
          </w:tcPr>
          <w:p>
            <w:pPr>
              <w:jc w:val="center"/>
              <w:ind w:right="1591"/>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280" w:type="dxa"/>
            <w:vAlign w:val="bottom"/>
          </w:tcPr>
          <w:p>
            <w:pPr>
              <w:jc w:val="center"/>
              <w:ind w:left="157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MaxCyte, Inc. 2026 Inducement Plan</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Maher Masoud</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MaxCyte, Inc.</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9713 Key West Avenue, Suite 400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Rockville, Maryland 20850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(301) 944-1700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98" w:lineRule="exact"/>
        <w:rPr>
          <w:sz w:val="24"/>
          <w:szCs w:val="24"/>
          <w:color w:val="auto"/>
        </w:rPr>
      </w:pPr>
    </w:p>
    <w:tbl>
      <w:tblPr>
        <w:tblLayout w:type="fixed"/>
        <w:tblInd w:w="156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51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05"/>
        </w:trPr>
        <w:tc>
          <w:tcPr>
            <w:tcW w:w="310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8"/>
              </w:rPr>
              <w:t>Camille Ciesliga</w:t>
            </w:r>
          </w:p>
        </w:tc>
        <w:tc>
          <w:tcPr>
            <w:tcW w:w="5100" w:type="dxa"/>
            <w:vAlign w:val="bottom"/>
          </w:tcPr>
          <w:p>
            <w:pPr>
              <w:jc w:val="center"/>
              <w:ind w:left="2351"/>
              <w:spacing w:after="0"/>
              <w:rPr>
                <w:sz w:val="20"/>
                <w:szCs w:val="20"/>
                <w:color w:val="auto"/>
              </w:rPr>
            </w:pPr>
            <w:r>
              <w:rPr>
                <w:rFonts w:ascii="Times New Roman" w:cs="Times New Roman" w:eastAsia="Times New Roman" w:hAnsi="Times New Roman"/>
                <w:sz w:val="18"/>
                <w:szCs w:val="18"/>
                <w:b w:val="1"/>
                <w:bCs w:val="1"/>
                <w:color w:val="auto"/>
                <w:w w:val="99"/>
              </w:rPr>
              <w:t>Asher Rubin</w:t>
            </w:r>
          </w:p>
        </w:tc>
      </w:tr>
      <w:tr>
        <w:trPr>
          <w:trHeight w:val="214"/>
        </w:trPr>
        <w:tc>
          <w:tcPr>
            <w:tcW w:w="310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4"/>
              </w:rPr>
              <w:t>VP, Legal</w:t>
            </w:r>
          </w:p>
        </w:tc>
        <w:tc>
          <w:tcPr>
            <w:tcW w:w="5100" w:type="dxa"/>
            <w:vAlign w:val="bottom"/>
          </w:tcPr>
          <w:p>
            <w:pPr>
              <w:jc w:val="center"/>
              <w:ind w:left="2371"/>
              <w:spacing w:after="0"/>
              <w:rPr>
                <w:sz w:val="20"/>
                <w:szCs w:val="20"/>
                <w:color w:val="auto"/>
              </w:rPr>
            </w:pPr>
            <w:r>
              <w:rPr>
                <w:rFonts w:ascii="Times New Roman" w:cs="Times New Roman" w:eastAsia="Times New Roman" w:hAnsi="Times New Roman"/>
                <w:sz w:val="18"/>
                <w:szCs w:val="18"/>
                <w:b w:val="1"/>
                <w:bCs w:val="1"/>
                <w:color w:val="auto"/>
                <w:w w:val="98"/>
              </w:rPr>
              <w:t>Sidley Austin LLP</w:t>
            </w:r>
          </w:p>
        </w:tc>
      </w:tr>
      <w:tr>
        <w:trPr>
          <w:trHeight w:val="214"/>
        </w:trPr>
        <w:tc>
          <w:tcPr>
            <w:tcW w:w="310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8"/>
              </w:rPr>
              <w:t>MaxCyte, Inc.</w:t>
            </w:r>
          </w:p>
        </w:tc>
        <w:tc>
          <w:tcPr>
            <w:tcW w:w="5100" w:type="dxa"/>
            <w:vAlign w:val="bottom"/>
          </w:tcPr>
          <w:p>
            <w:pPr>
              <w:jc w:val="center"/>
              <w:ind w:left="2351"/>
              <w:spacing w:after="0"/>
              <w:rPr>
                <w:sz w:val="20"/>
                <w:szCs w:val="20"/>
                <w:color w:val="auto"/>
              </w:rPr>
            </w:pPr>
            <w:r>
              <w:rPr>
                <w:rFonts w:ascii="Times New Roman" w:cs="Times New Roman" w:eastAsia="Times New Roman" w:hAnsi="Times New Roman"/>
                <w:sz w:val="18"/>
                <w:szCs w:val="18"/>
                <w:b w:val="1"/>
                <w:bCs w:val="1"/>
                <w:color w:val="auto"/>
                <w:w w:val="98"/>
              </w:rPr>
              <w:t>2850 Quarry Lake Drive, Suite 301</w:t>
            </w:r>
          </w:p>
        </w:tc>
      </w:tr>
      <w:tr>
        <w:trPr>
          <w:trHeight w:val="214"/>
        </w:trPr>
        <w:tc>
          <w:tcPr>
            <w:tcW w:w="310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8"/>
              </w:rPr>
              <w:t>9713 Key West Avenue, Suite 400</w:t>
            </w:r>
          </w:p>
        </w:tc>
        <w:tc>
          <w:tcPr>
            <w:tcW w:w="5100" w:type="dxa"/>
            <w:vAlign w:val="bottom"/>
          </w:tcPr>
          <w:p>
            <w:pPr>
              <w:jc w:val="center"/>
              <w:ind w:left="2371"/>
              <w:spacing w:after="0"/>
              <w:rPr>
                <w:sz w:val="20"/>
                <w:szCs w:val="20"/>
                <w:color w:val="auto"/>
              </w:rPr>
            </w:pPr>
            <w:r>
              <w:rPr>
                <w:rFonts w:ascii="Times New Roman" w:cs="Times New Roman" w:eastAsia="Times New Roman" w:hAnsi="Times New Roman"/>
                <w:sz w:val="18"/>
                <w:szCs w:val="18"/>
                <w:b w:val="1"/>
                <w:bCs w:val="1"/>
                <w:color w:val="auto"/>
                <w:w w:val="99"/>
              </w:rPr>
              <w:t>Baltimore, MD 21209</w:t>
            </w:r>
          </w:p>
        </w:tc>
      </w:tr>
      <w:tr>
        <w:trPr>
          <w:trHeight w:val="214"/>
        </w:trPr>
        <w:tc>
          <w:tcPr>
            <w:tcW w:w="310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8"/>
              </w:rPr>
              <w:t>Rockville, Maryland 20850</w:t>
            </w:r>
          </w:p>
        </w:tc>
        <w:tc>
          <w:tcPr>
            <w:tcW w:w="5100" w:type="dxa"/>
            <w:vAlign w:val="bottom"/>
          </w:tcPr>
          <w:p>
            <w:pPr>
              <w:jc w:val="center"/>
              <w:ind w:left="2371"/>
              <w:spacing w:after="0"/>
              <w:rPr>
                <w:sz w:val="20"/>
                <w:szCs w:val="20"/>
                <w:color w:val="auto"/>
              </w:rPr>
            </w:pPr>
            <w:r>
              <w:rPr>
                <w:rFonts w:ascii="Times New Roman" w:cs="Times New Roman" w:eastAsia="Times New Roman" w:hAnsi="Times New Roman"/>
                <w:sz w:val="18"/>
                <w:szCs w:val="18"/>
                <w:b w:val="1"/>
                <w:bCs w:val="1"/>
                <w:color w:val="auto"/>
                <w:w w:val="99"/>
              </w:rPr>
              <w:t>(410) 559-2881</w:t>
            </w:r>
          </w:p>
        </w:tc>
      </w:tr>
      <w:tr>
        <w:trPr>
          <w:trHeight w:val="237"/>
        </w:trPr>
        <w:tc>
          <w:tcPr>
            <w:tcW w:w="3100" w:type="dxa"/>
            <w:vAlign w:val="bottom"/>
          </w:tcPr>
          <w:p>
            <w:pPr>
              <w:jc w:val="center"/>
              <w:ind w:right="491"/>
              <w:spacing w:after="0"/>
              <w:rPr>
                <w:sz w:val="20"/>
                <w:szCs w:val="20"/>
                <w:color w:val="auto"/>
              </w:rPr>
            </w:pPr>
            <w:r>
              <w:rPr>
                <w:rFonts w:ascii="Times New Roman" w:cs="Times New Roman" w:eastAsia="Times New Roman" w:hAnsi="Times New Roman"/>
                <w:sz w:val="18"/>
                <w:szCs w:val="18"/>
                <w:b w:val="1"/>
                <w:bCs w:val="1"/>
                <w:color w:val="auto"/>
                <w:w w:val="99"/>
              </w:rPr>
              <w:t>(301) 944-1700</w:t>
            </w:r>
          </w:p>
        </w:tc>
        <w:tc>
          <w:tcPr>
            <w:tcW w:w="51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120" w:firstLine="32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7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8" w:lineRule="exact"/>
        <w:rPr>
          <w:sz w:val="24"/>
          <w:szCs w:val="24"/>
          <w:color w:val="auto"/>
        </w:rPr>
      </w:pPr>
    </w:p>
    <w:p>
      <w:pPr>
        <w:ind w:right="10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160020</wp:posOffset>
            </wp:positionV>
            <wp:extent cx="71335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465455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60"/>
          </w:cols>
          <w:pgMar w:left="320" w:top="215" w:right="31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ind w:right="60" w:firstLine="641"/>
        <w:spacing w:after="0" w:line="262" w:lineRule="auto"/>
        <w:rPr>
          <w:sz w:val="20"/>
          <w:szCs w:val="20"/>
          <w:color w:val="auto"/>
        </w:rPr>
      </w:pPr>
      <w:r>
        <w:rPr>
          <w:rFonts w:ascii="Times New Roman" w:cs="Times New Roman" w:eastAsia="Times New Roman" w:hAnsi="Times New Roman"/>
          <w:sz w:val="18"/>
          <w:szCs w:val="18"/>
          <w:color w:val="auto"/>
        </w:rPr>
        <w:t>This Registration Statement on Form S-8 is being filed for the purpose of registering 1,000,000 shares of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MaxCyte, Inc., a Delaware corporation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to be issued pursuant to the MaxCyte, Inc. 2026 Inducement Plan, as amended (the “</w:t>
      </w:r>
      <w:r>
        <w:rPr>
          <w:rFonts w:ascii="Times New Roman" w:cs="Times New Roman" w:eastAsia="Times New Roman" w:hAnsi="Times New Roman"/>
          <w:sz w:val="18"/>
          <w:szCs w:val="18"/>
          <w:b w:val="1"/>
          <w:bCs w:val="1"/>
          <w:i w:val="1"/>
          <w:iCs w:val="1"/>
          <w:color w:val="auto"/>
        </w:rPr>
        <w:t>2026 Plan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Plan Information.</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documents containing the information specified in Part I will be delivered in accordance with Rule 428(b) under the Securities Act of 1933,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Such documents are not required to be, and are not, filed with the Securities and Exchange Commission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either as part of this Registration Statement or as prospectuses or prospectus supplements pursuant to Rule 424 under the Securities Act.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documents, and the documents incorporated by reference under this Registration Statement pursuant to Item 3 of Part II of the Form S-8, taken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constitute a prospectus that meets the requirements of Section 10(a) of the Securities Act.</w:t>
      </w:r>
    </w:p>
    <w:p>
      <w:pPr>
        <w:spacing w:after="0" w:line="1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Registrant Information and Employee Plan Annual Information.</w:t>
      </w:r>
    </w:p>
    <w:p>
      <w:pPr>
        <w:spacing w:after="0" w:line="224" w:lineRule="exact"/>
        <w:rPr>
          <w:sz w:val="20"/>
          <w:szCs w:val="20"/>
          <w:color w:val="auto"/>
        </w:rPr>
      </w:pPr>
    </w:p>
    <w:p>
      <w:pPr>
        <w:ind w:right="800" w:firstLine="321"/>
        <w:spacing w:after="0" w:line="277" w:lineRule="auto"/>
        <w:rPr>
          <w:sz w:val="20"/>
          <w:szCs w:val="20"/>
          <w:color w:val="auto"/>
        </w:rPr>
      </w:pPr>
      <w:r>
        <w:rPr>
          <w:rFonts w:ascii="Times New Roman" w:cs="Times New Roman" w:eastAsia="Times New Roman" w:hAnsi="Times New Roman"/>
          <w:sz w:val="18"/>
          <w:szCs w:val="18"/>
          <w:color w:val="auto"/>
        </w:rPr>
        <w:t>The written statement required by Item 2 of Part I is included in documents that will be delivered to participants in the 2026 Plan pursuant to Rule 428(b) of the Securities Act.</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documents filed by the Registrant with the Commission are incorporated by reference into this Registration Statement:</w:t>
      </w:r>
    </w:p>
    <w:p>
      <w:pPr>
        <w:spacing w:after="0" w:line="220" w:lineRule="exact"/>
        <w:rPr>
          <w:sz w:val="20"/>
          <w:szCs w:val="20"/>
          <w:color w:val="auto"/>
        </w:rPr>
      </w:pPr>
    </w:p>
    <w:p>
      <w:pPr>
        <w:ind w:left="320" w:hanging="313"/>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 for the fiscal year ended December 31, 2025, filed with the Commission on March 25, 2026</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left="320" w:right="80" w:hanging="313"/>
        <w:spacing w:after="0" w:line="277" w:lineRule="auto"/>
        <w:tabs>
          <w:tab w:leader="none" w:pos="32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(except for the information furnished under Items 2.02 and 7.01 therein), filed with the Commission on </w:t>
      </w:r>
      <w:hyperlink r:id="rId19">
        <w:r>
          <w:rPr>
            <w:rFonts w:ascii="Times New Roman" w:cs="Times New Roman" w:eastAsia="Times New Roman" w:hAnsi="Times New Roman"/>
            <w:sz w:val="18"/>
            <w:szCs w:val="18"/>
            <w:u w:val="single" w:color="auto"/>
            <w:color w:val="0000EE"/>
          </w:rPr>
          <w:t>March 20, 2026</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0">
        <w:r>
          <w:rPr>
            <w:rFonts w:ascii="Times New Roman" w:cs="Times New Roman" w:eastAsia="Times New Roman" w:hAnsi="Times New Roman"/>
            <w:sz w:val="18"/>
            <w:szCs w:val="18"/>
            <w:u w:val="single" w:color="auto"/>
            <w:color w:val="0000EE"/>
          </w:rPr>
          <w:t>March 27, 2026</w:t>
        </w:r>
      </w:hyperlink>
      <w:r>
        <w:rPr>
          <w:rFonts w:ascii="Times New Roman" w:cs="Times New Roman" w:eastAsia="Times New Roman" w:hAnsi="Times New Roman"/>
          <w:sz w:val="18"/>
          <w:szCs w:val="18"/>
          <w:color w:val="000000"/>
        </w:rPr>
        <w:t>;</w:t>
      </w:r>
    </w:p>
    <w:p>
      <w:pPr>
        <w:spacing w:after="0" w:line="163" w:lineRule="exact"/>
        <w:rPr>
          <w:rFonts w:ascii="Times New Roman" w:cs="Times New Roman" w:eastAsia="Times New Roman" w:hAnsi="Times New Roman"/>
          <w:sz w:val="18"/>
          <w:szCs w:val="18"/>
          <w:color w:val="0000EE"/>
        </w:rPr>
      </w:pPr>
    </w:p>
    <w:p>
      <w:pPr>
        <w:ind w:left="320" w:hanging="313"/>
        <w:spacing w:after="0" w:line="257" w:lineRule="auto"/>
        <w:tabs>
          <w:tab w:leader="none" w:pos="320" w:val="left"/>
        </w:tabs>
        <w:numPr>
          <w:ilvl w:val="0"/>
          <w:numId w:val="1"/>
        </w:numPr>
        <w:rPr>
          <w:rFonts w:ascii="Times New Roman" w:cs="Times New Roman" w:eastAsia="Times New Roman" w:hAnsi="Times New Roman"/>
          <w:sz w:val="18"/>
          <w:szCs w:val="18"/>
          <w:color w:val="000000"/>
        </w:rPr>
      </w:pPr>
      <w:hyperlink r:id="rId21">
        <w:r>
          <w:rPr>
            <w:rFonts w:ascii="Times New Roman" w:cs="Times New Roman" w:eastAsia="Times New Roman" w:hAnsi="Times New Roman"/>
            <w:sz w:val="18"/>
            <w:szCs w:val="18"/>
            <w:color w:val="auto"/>
          </w:rPr>
          <w:t xml:space="preserve">The description of the Common Stock contained in the Registrant’s Registration Statement on </w:t>
        </w:r>
        <w:r>
          <w:rPr>
            <w:rFonts w:ascii="Times New Roman" w:cs="Times New Roman" w:eastAsia="Times New Roman" w:hAnsi="Times New Roman"/>
            <w:sz w:val="18"/>
            <w:szCs w:val="18"/>
            <w:u w:val="single" w:color="auto"/>
            <w:color w:val="0000EE"/>
          </w:rPr>
          <w:t>Form 8-A (File No. 001-40674), filed with the</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Commission on July 27, 2021</w:t>
        </w:r>
        <w:r>
          <w:rPr>
            <w:rFonts w:ascii="Times New Roman" w:cs="Times New Roman" w:eastAsia="Times New Roman" w:hAnsi="Times New Roman"/>
            <w:sz w:val="18"/>
            <w:szCs w:val="18"/>
            <w:color w:val="000000"/>
          </w:rPr>
          <w:t>, under Section 12(b) of the Securities Exchange Act of 1934, as amended (the “</w:t>
        </w:r>
        <w:r>
          <w:rPr>
            <w:rFonts w:ascii="Times New Roman" w:cs="Times New Roman" w:eastAsia="Times New Roman" w:hAnsi="Times New Roman"/>
            <w:sz w:val="18"/>
            <w:szCs w:val="18"/>
            <w:b w:val="1"/>
            <w:bCs w:val="1"/>
            <w:i w:val="1"/>
            <w:iCs w:val="1"/>
            <w:color w:val="000000"/>
          </w:rPr>
          <w:t>Exchange Act</w:t>
        </w:r>
        <w:r>
          <w:rPr>
            <w:rFonts w:ascii="Times New Roman" w:cs="Times New Roman" w:eastAsia="Times New Roman" w:hAnsi="Times New Roman"/>
            <w:sz w:val="18"/>
            <w:szCs w:val="18"/>
            <w:color w:val="000000"/>
          </w:rPr>
          <w:t>”), including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amendments or reports filed for the purpose of updating such description, including </w:t>
      </w:r>
      <w:hyperlink r:id="rId2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the Registrant’s Annual Report on Form 10-K for the fiscal year ended December 31, 2021, filed with the Commission on March 22, 2022; and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40"/>
          </w:cols>
          <w:pgMar w:left="320" w:top="892" w:right="439" w:bottom="1440" w:gutter="0" w:footer="0" w:header="0"/>
        </w:sectPr>
      </w:pPr>
    </w:p>
    <w:bookmarkStart w:id="2" w:name="page3"/>
    <w:bookmarkEnd w:id="2"/>
    <w:p>
      <w:pPr>
        <w:ind w:left="320" w:right="20" w:hanging="313"/>
        <w:spacing w:after="0" w:line="255" w:lineRule="auto"/>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reports and definitive proxy or information statements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w:t>
      </w:r>
    </w:p>
    <w:p>
      <w:pPr>
        <w:spacing w:after="0" w:line="183" w:lineRule="exact"/>
        <w:rPr>
          <w:sz w:val="20"/>
          <w:szCs w:val="20"/>
          <w:color w:val="auto"/>
        </w:rPr>
      </w:pPr>
    </w:p>
    <w:p>
      <w:pPr>
        <w:ind w:left="320" w:right="40"/>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exhibits to this Registration Statement are listed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11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0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7"/>
        </w:trPr>
        <w:tc>
          <w:tcPr>
            <w:tcW w:w="20" w:type="dxa"/>
            <w:vAlign w:val="bottom"/>
          </w:tcPr>
          <w:p>
            <w:pPr>
              <w:spacing w:after="0"/>
              <w:rPr>
                <w:sz w:val="14"/>
                <w:szCs w:val="14"/>
                <w:color w:val="auto"/>
              </w:rPr>
            </w:pPr>
          </w:p>
        </w:tc>
        <w:tc>
          <w:tcPr>
            <w:tcW w:w="300" w:type="dxa"/>
            <w:vAlign w:val="bottom"/>
            <w:tcBorders>
              <w:top w:val="single" w:sz="8" w:color="auto"/>
            </w:tcBorders>
            <w:gridSpan w:val="2"/>
          </w:tcPr>
          <w:p>
            <w:pPr>
              <w:spacing w:after="0" w:line="167"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tcBorders>
              <w:top w:val="single" w:sz="8" w:color="auto"/>
            </w:tcBorders>
            <w:gridSpan w:val="11"/>
          </w:tcPr>
          <w:p>
            <w:pPr>
              <w:spacing w:after="0" w:line="167"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Fifteenth Amended and Restated Certificate of Incorporation (incorporated herein by reference to Exhibit 3.1 to the Registrant’s Registration</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tcBorders>
              <w:top w:val="single" w:sz="8" w:color="0000EE"/>
            </w:tcBorders>
            <w:gridSpan w:val="10"/>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Statement on Form S-1 (File No. 333-257810), filed with the Commission on July 26, 2021).</w:t>
              </w:r>
            </w:hyperlink>
          </w:p>
        </w:tc>
        <w:tc>
          <w:tcPr>
            <w:tcW w:w="60" w:type="dxa"/>
            <w:vAlign w:val="bottom"/>
          </w:tcPr>
          <w:p>
            <w:pPr>
              <w:spacing w:after="0"/>
              <w:rPr>
                <w:sz w:val="16"/>
                <w:szCs w:val="16"/>
                <w:color w:val="auto"/>
              </w:rPr>
            </w:pPr>
          </w:p>
        </w:tc>
      </w:tr>
      <w:tr>
        <w:trPr>
          <w:trHeight w:val="20"/>
        </w:trPr>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407"/>
        </w:trPr>
        <w:tc>
          <w:tcPr>
            <w:tcW w:w="320" w:type="dxa"/>
            <w:vAlign w:val="bottom"/>
            <w:gridSpan w:val="3"/>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11"/>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Amended and Restated Bylaws (incorporated herein by reference to Exhibit 3.1 to the Registrant’s Current Report on Form 8-K (File</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80" w:type="dxa"/>
            <w:vAlign w:val="bottom"/>
            <w:tcBorders>
              <w:top w:val="single" w:sz="8" w:color="0000EE"/>
            </w:tcBorders>
            <w:gridSpan w:val="9"/>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No. 001-40674), filed with the Commission on August 4, 2021).</w:t>
              </w:r>
            </w:hyperlink>
          </w:p>
        </w:tc>
        <w:tc>
          <w:tcPr>
            <w:tcW w:w="620" w:type="dxa"/>
            <w:vAlign w:val="bottom"/>
            <w:gridSpan w:val="2"/>
          </w:tcPr>
          <w:p>
            <w:pPr>
              <w:spacing w:after="0"/>
              <w:rPr>
                <w:sz w:val="16"/>
                <w:szCs w:val="16"/>
                <w:color w:val="auto"/>
              </w:rPr>
            </w:pPr>
          </w:p>
        </w:tc>
      </w:tr>
      <w:tr>
        <w:trPr>
          <w:trHeight w:val="407"/>
        </w:trPr>
        <w:tc>
          <w:tcPr>
            <w:tcW w:w="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40" w:type="dxa"/>
            <w:vAlign w:val="bottom"/>
            <w:tcBorders>
              <w:bottom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Sidley Austin LLP</w:t>
            </w:r>
          </w:p>
        </w:tc>
        <w:tc>
          <w:tcPr>
            <w:tcW w:w="2420" w:type="dxa"/>
            <w:vAlign w:val="bottom"/>
            <w:tcBorders>
              <w:top w:val="single" w:sz="8" w:color="0000EE"/>
            </w:tcBorders>
            <w:gridSpan w:val="4"/>
          </w:tcPr>
          <w:p>
            <w:pPr>
              <w:spacing w:after="0"/>
              <w:rPr>
                <w:sz w:val="24"/>
                <w:szCs w:val="24"/>
                <w:color w:val="auto"/>
              </w:rPr>
            </w:pPr>
          </w:p>
        </w:tc>
        <w:tc>
          <w:tcPr>
            <w:tcW w:w="5520" w:type="dxa"/>
            <w:vAlign w:val="bottom"/>
            <w:gridSpan w:val="5"/>
          </w:tcPr>
          <w:p>
            <w:pPr>
              <w:spacing w:after="0"/>
              <w:rPr>
                <w:sz w:val="24"/>
                <w:szCs w:val="24"/>
                <w:color w:val="auto"/>
              </w:rPr>
            </w:pPr>
          </w:p>
        </w:tc>
      </w:tr>
      <w:tr>
        <w:trPr>
          <w:trHeight w:val="407"/>
        </w:trPr>
        <w:tc>
          <w:tcPr>
            <w:tcW w:w="4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Independent Registered Public Accounting Firm.</w:t>
            </w:r>
          </w:p>
        </w:tc>
        <w:tc>
          <w:tcPr>
            <w:tcW w:w="5780" w:type="dxa"/>
            <w:vAlign w:val="bottom"/>
            <w:gridSpan w:val="6"/>
          </w:tcPr>
          <w:p>
            <w:pPr>
              <w:spacing w:after="0"/>
              <w:rPr>
                <w:sz w:val="24"/>
                <w:szCs w:val="24"/>
                <w:color w:val="auto"/>
              </w:rPr>
            </w:pPr>
          </w:p>
        </w:tc>
      </w:tr>
      <w:tr>
        <w:trPr>
          <w:trHeight w:val="407"/>
        </w:trPr>
        <w:tc>
          <w:tcPr>
            <w:tcW w:w="4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2*</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Consent of Sidley Austin LLP (included in Exhibit 5.1).</w:t>
            </w:r>
          </w:p>
        </w:tc>
        <w:tc>
          <w:tcPr>
            <w:tcW w:w="6100" w:type="dxa"/>
            <w:vAlign w:val="bottom"/>
            <w:gridSpan w:val="7"/>
          </w:tcPr>
          <w:p>
            <w:pPr>
              <w:spacing w:after="0"/>
              <w:rPr>
                <w:sz w:val="24"/>
                <w:szCs w:val="24"/>
                <w:color w:val="auto"/>
              </w:rPr>
            </w:pPr>
          </w:p>
        </w:tc>
      </w:tr>
      <w:tr>
        <w:trPr>
          <w:trHeight w:val="407"/>
        </w:trPr>
        <w:tc>
          <w:tcPr>
            <w:tcW w:w="4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3"/>
              </w:rPr>
              <w:t>24.</w:t>
            </w:r>
            <w:r>
              <w:rPr>
                <w:rFonts w:ascii="Times New Roman" w:cs="Times New Roman" w:eastAsia="Times New Roman" w:hAnsi="Times New Roman"/>
                <w:sz w:val="18"/>
                <w:szCs w:val="18"/>
                <w:u w:val="single" w:color="auto"/>
                <w:color w:val="0000EE"/>
                <w:w w:val="93"/>
              </w:rPr>
              <w:t>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the signature page of this Registration Statement).</w:t>
            </w:r>
          </w:p>
        </w:tc>
        <w:tc>
          <w:tcPr>
            <w:tcW w:w="4220" w:type="dxa"/>
            <w:vAlign w:val="bottom"/>
            <w:gridSpan w:val="4"/>
          </w:tcPr>
          <w:p>
            <w:pPr>
              <w:spacing w:after="0"/>
              <w:rPr>
                <w:sz w:val="24"/>
                <w:szCs w:val="24"/>
                <w:color w:val="auto"/>
              </w:rPr>
            </w:pPr>
          </w:p>
        </w:tc>
      </w:tr>
      <w:tr>
        <w:trPr>
          <w:trHeight w:val="407"/>
        </w:trPr>
        <w:tc>
          <w:tcPr>
            <w:tcW w:w="4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3"/>
              </w:rPr>
              <w:t>99.</w:t>
            </w:r>
            <w:r>
              <w:rPr>
                <w:rFonts w:ascii="Times New Roman" w:cs="Times New Roman" w:eastAsia="Times New Roman" w:hAnsi="Times New Roman"/>
                <w:sz w:val="18"/>
                <w:szCs w:val="18"/>
                <w:u w:val="single" w:color="auto"/>
                <w:color w:val="0000EE"/>
                <w:w w:val="93"/>
              </w:rPr>
              <w:t>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MaxCyte, Inc. 2026 Inducement Plan.</w:t>
            </w:r>
          </w:p>
        </w:tc>
        <w:tc>
          <w:tcPr>
            <w:tcW w:w="7380" w:type="dxa"/>
            <w:vAlign w:val="bottom"/>
            <w:gridSpan w:val="8"/>
          </w:tcPr>
          <w:p>
            <w:pPr>
              <w:spacing w:after="0"/>
              <w:rPr>
                <w:sz w:val="24"/>
                <w:szCs w:val="24"/>
                <w:color w:val="auto"/>
              </w:rPr>
            </w:pPr>
          </w:p>
        </w:tc>
      </w:tr>
      <w:tr>
        <w:trPr>
          <w:trHeight w:val="407"/>
        </w:trPr>
        <w:tc>
          <w:tcPr>
            <w:tcW w:w="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4"/>
              </w:rPr>
              <w:t>107*</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880" w:type="dxa"/>
            <w:vAlign w:val="bottom"/>
            <w:gridSpan w:val="10"/>
          </w:tcPr>
          <w:p>
            <w:pPr>
              <w:spacing w:after="0"/>
              <w:rPr>
                <w:sz w:val="24"/>
                <w:szCs w:val="24"/>
                <w:color w:val="auto"/>
              </w:rPr>
            </w:pPr>
          </w:p>
        </w:tc>
      </w:tr>
    </w:tbl>
    <w:p>
      <w:pPr>
        <w:spacing w:after="0" w:line="222" w:lineRule="exact"/>
        <w:rPr>
          <w:sz w:val="20"/>
          <w:szCs w:val="20"/>
          <w:color w:val="auto"/>
        </w:rPr>
      </w:pPr>
    </w:p>
    <w:p>
      <w:pPr>
        <w:ind w:left="1140" w:hanging="113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Rockville, Maryland, on April 15,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MaxCyte, Inc.</w:t>
      </w:r>
    </w:p>
    <w:p>
      <w:pPr>
        <w:spacing w:after="0" w:line="2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Maher Masoud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Maher Masoud</w:t>
      </w:r>
    </w:p>
    <w:p>
      <w:pPr>
        <w:spacing w:after="0" w:line="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00"/>
          </w:cols>
          <w:pgMar w:left="320" w:top="892" w:right="5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0" w:lineRule="exact"/>
        <w:rPr>
          <w:sz w:val="20"/>
          <w:szCs w:val="20"/>
          <w:color w:val="auto"/>
        </w:rPr>
      </w:pPr>
    </w:p>
    <w:p>
      <w:pPr>
        <w:ind w:right="80" w:firstLine="641"/>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each person whose signature appears below constitutes and appoints Maher Masoud,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Parmeet Ahuja and Camille Ciesliga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89"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2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7"/>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Maher Masoud</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15, 2026</w:t>
            </w: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Maher Masoud</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60" w:type="dxa"/>
            <w:vAlign w:val="bottom"/>
          </w:tcPr>
          <w:p>
            <w:pPr>
              <w:spacing w:after="0"/>
              <w:rPr>
                <w:sz w:val="19"/>
                <w:szCs w:val="19"/>
                <w:color w:val="auto"/>
              </w:rPr>
            </w:pPr>
          </w:p>
        </w:tc>
      </w:tr>
      <w:tr>
        <w:trPr>
          <w:trHeight w:val="40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Parmeet Ahuja</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15, 2026</w:t>
            </w: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Parmeet Ahuja</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460" w:type="dxa"/>
            <w:vAlign w:val="bottom"/>
          </w:tcPr>
          <w:p>
            <w:pPr>
              <w:spacing w:after="0"/>
              <w:rPr>
                <w:sz w:val="19"/>
                <w:szCs w:val="19"/>
                <w:color w:val="auto"/>
              </w:rPr>
            </w:pPr>
          </w:p>
        </w:tc>
      </w:tr>
      <w:tr>
        <w:trPr>
          <w:trHeight w:val="40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Douglas, PhD</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15, 2026</w:t>
            </w: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Richard Douglas, PhD</w:t>
            </w:r>
          </w:p>
        </w:tc>
        <w:tc>
          <w:tcPr>
            <w:tcW w:w="56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0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Yasir Al-Wakeel, BM BCh</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15, 2026</w:t>
            </w: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Yasir Al-Wakeel, BM BCh</w:t>
            </w:r>
          </w:p>
        </w:tc>
        <w:tc>
          <w:tcPr>
            <w:tcW w:w="56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0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Balthrop, Sr.</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15, 2026</w:t>
            </w: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Patrick Balthrop, Sr.</w:t>
            </w:r>
          </w:p>
        </w:tc>
        <w:tc>
          <w:tcPr>
            <w:tcW w:w="56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0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 Brooke</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15, 2026</w:t>
            </w: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Will Brooke</w:t>
            </w:r>
          </w:p>
        </w:tc>
        <w:tc>
          <w:tcPr>
            <w:tcW w:w="56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0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Cynthia Collins</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15, 2026</w:t>
            </w: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Cynthia Collins</w:t>
            </w:r>
          </w:p>
        </w:tc>
        <w:tc>
          <w:tcPr>
            <w:tcW w:w="56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0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Stanley C. Erck</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15, 2026</w:t>
            </w: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Stanley C. Erck</w:t>
            </w:r>
          </w:p>
        </w:tc>
        <w:tc>
          <w:tcPr>
            <w:tcW w:w="56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0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Rekha Hemrajani</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15, 2026</w:t>
            </w: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Rekha Hemrajani</w:t>
            </w:r>
          </w:p>
        </w:tc>
        <w:tc>
          <w:tcPr>
            <w:tcW w:w="56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0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Johnston</w:t>
            </w:r>
          </w:p>
        </w:tc>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460" w:type="dxa"/>
            <w:vAlign w:val="bottom"/>
          </w:tcPr>
          <w:p>
            <w:pPr>
              <w:jc w:val="center"/>
              <w:ind w:left="371"/>
              <w:spacing w:after="0"/>
              <w:rPr>
                <w:sz w:val="20"/>
                <w:szCs w:val="20"/>
                <w:color w:val="auto"/>
              </w:rPr>
            </w:pPr>
            <w:r>
              <w:rPr>
                <w:rFonts w:ascii="Times New Roman" w:cs="Times New Roman" w:eastAsia="Times New Roman" w:hAnsi="Times New Roman"/>
                <w:sz w:val="18"/>
                <w:szCs w:val="18"/>
                <w:color w:val="auto"/>
                <w:w w:val="98"/>
              </w:rPr>
              <w:t>April 15, 2026</w:t>
            </w:r>
          </w:p>
        </w:tc>
      </w:tr>
      <w:tr>
        <w:trPr>
          <w:trHeight w:val="22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John Johnston</w:t>
            </w:r>
          </w:p>
        </w:tc>
        <w:tc>
          <w:tcPr>
            <w:tcW w:w="562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649"/>
        </w:trPr>
        <w:tc>
          <w:tcPr>
            <w:tcW w:w="31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1035050" cy="271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035050" cy="27114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ONE SOUTH DEARBORN STREET</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CHICAGO, IL 60603</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+1 312 853 7000</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+1 312 853 7036 FAX</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15,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MaxCyte,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9713 Key West Avenue, Suite 400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20850</w:t>
      </w:r>
    </w:p>
    <w:p>
      <w:pPr>
        <w:spacing w:after="0" w:line="202" w:lineRule="exact"/>
        <w:rPr>
          <w:sz w:val="20"/>
          <w:szCs w:val="20"/>
          <w:color w:val="auto"/>
        </w:rPr>
      </w:pPr>
    </w:p>
    <w:p>
      <w:pPr>
        <w:ind w:left="1600"/>
        <w:spacing w:after="0"/>
        <w:tabs>
          <w:tab w:leader="none" w:pos="22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1,000,000 shares of Common Stock, $0.01 par value per share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right="200" w:firstLine="1282"/>
        <w:spacing w:after="0" w:line="255" w:lineRule="auto"/>
        <w:rPr>
          <w:sz w:val="20"/>
          <w:szCs w:val="20"/>
          <w:color w:val="auto"/>
        </w:rPr>
      </w:pPr>
      <w:r>
        <w:rPr>
          <w:rFonts w:ascii="Times New Roman" w:cs="Times New Roman" w:eastAsia="Times New Roman" w:hAnsi="Times New Roman"/>
          <w:sz w:val="18"/>
          <w:szCs w:val="18"/>
          <w:color w:val="auto"/>
        </w:rPr>
        <w:t>We refer to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by MaxCyte,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1,000,000 shares of common stock, $0.01 par value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may be issued under the MaxCyte, Inc. 2026 Inducement Plan, as amended (the “</w:t>
      </w:r>
      <w:r>
        <w:rPr>
          <w:rFonts w:ascii="Times New Roman" w:cs="Times New Roman" w:eastAsia="Times New Roman" w:hAnsi="Times New Roman"/>
          <w:sz w:val="18"/>
          <w:szCs w:val="18"/>
          <w:u w:val="single" w:color="auto"/>
          <w:color w:val="auto"/>
        </w:rPr>
        <w:t>2026 Plan</w:t>
      </w:r>
      <w:r>
        <w:rPr>
          <w:rFonts w:ascii="Times New Roman" w:cs="Times New Roman" w:eastAsia="Times New Roman" w:hAnsi="Times New Roman"/>
          <w:sz w:val="18"/>
          <w:szCs w:val="18"/>
          <w:color w:val="auto"/>
        </w:rPr>
        <w:t>” and the aggregate number of shares of Common Stock to be registered under the Registration Statement, the “</w:t>
      </w:r>
      <w:r>
        <w:rPr>
          <w:rFonts w:ascii="Times New Roman" w:cs="Times New Roman" w:eastAsia="Times New Roman" w:hAnsi="Times New Roman"/>
          <w:sz w:val="18"/>
          <w:szCs w:val="18"/>
          <w:u w:val="single" w:color="auto"/>
          <w:color w:val="auto"/>
        </w:rPr>
        <w:t>Registered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0" w:lineRule="exact"/>
        <w:rPr>
          <w:sz w:val="20"/>
          <w:szCs w:val="20"/>
          <w:color w:val="auto"/>
        </w:rPr>
      </w:pPr>
    </w:p>
    <w:p>
      <w:pPr>
        <w:ind w:right="40" w:firstLine="1282"/>
        <w:spacing w:after="0" w:line="252" w:lineRule="auto"/>
        <w:rPr>
          <w:sz w:val="20"/>
          <w:szCs w:val="20"/>
          <w:color w:val="auto"/>
        </w:rPr>
      </w:pPr>
      <w:r>
        <w:rPr>
          <w:rFonts w:ascii="Times New Roman" w:cs="Times New Roman" w:eastAsia="Times New Roman" w:hAnsi="Times New Roman"/>
          <w:sz w:val="18"/>
          <w:szCs w:val="18"/>
          <w:color w:val="auto"/>
        </w:rPr>
        <w:t>We have examined the Registration Statement, the Company’s amended and restated certificate of incorporation and bylaws, the 2026 Plan and the resolutions adopted by the board of directors of the Company relating to the Registration Statement and the 2026 Plan.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85" w:lineRule="exact"/>
        <w:rPr>
          <w:sz w:val="20"/>
          <w:szCs w:val="20"/>
          <w:color w:val="auto"/>
        </w:rPr>
      </w:pPr>
    </w:p>
    <w:p>
      <w:pPr>
        <w:ind w:firstLine="1282"/>
        <w:spacing w:after="0" w:line="252" w:lineRule="auto"/>
        <w:rPr>
          <w:sz w:val="20"/>
          <w:szCs w:val="20"/>
          <w:color w:val="auto"/>
        </w:rPr>
      </w:pPr>
      <w:r>
        <w:rPr>
          <w:rFonts w:ascii="Times New Roman" w:cs="Times New Roman" w:eastAsia="Times New Roman" w:hAnsi="Times New Roman"/>
          <w:sz w:val="18"/>
          <w:szCs w:val="18"/>
          <w:color w:val="auto"/>
        </w:rPr>
        <w:t>Based on the foregoing, we are of the opinion that each Registered Share that is newly issued pursuant to the 2026 Plan will be validly issued, fully paid and non-assessable when: (i) the Registration Statement, as finally amended, shall have become effective under the Securities Act; (ii) such Registered Share shall have been duly issued and delivered in accordance with the 2026 Plan; and (iii) a certificate representing such Registered Share shall have been duly executed, countersigned and registered and duly delivered to the person entitled thereto against payment of the agreed consideration therefor (in an amount not less than the par value thereof) or, if any such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2026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Sidley Austin LLP is a limited liability partnership practicing in affiliation with other Sidley Austin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433070</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line="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581025</wp:posOffset>
            </wp:positionV>
            <wp:extent cx="1035050" cy="271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35050" cy="271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MaxCyte,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2" w:lineRule="exact"/>
        <w:rPr>
          <w:sz w:val="20"/>
          <w:szCs w:val="20"/>
          <w:color w:val="auto"/>
        </w:rPr>
      </w:pPr>
    </w:p>
    <w:p>
      <w:pPr>
        <w:ind w:right="20" w:firstLine="1282"/>
        <w:spacing w:after="0" w:line="308" w:lineRule="auto"/>
        <w:rPr>
          <w:sz w:val="20"/>
          <w:szCs w:val="20"/>
          <w:color w:val="auto"/>
        </w:rPr>
      </w:pPr>
      <w:r>
        <w:rPr>
          <w:rFonts w:ascii="Times New Roman" w:cs="Times New Roman" w:eastAsia="Times New Roman" w:hAnsi="Times New Roman"/>
          <w:sz w:val="17"/>
          <w:szCs w:val="17"/>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39" w:lineRule="exact"/>
        <w:rPr>
          <w:sz w:val="20"/>
          <w:szCs w:val="20"/>
          <w:color w:val="auto"/>
        </w:rPr>
      </w:pPr>
    </w:p>
    <w:p>
      <w:pPr>
        <w:ind w:firstLine="1282"/>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15875</wp:posOffset>
            </wp:positionV>
            <wp:extent cx="35623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436245</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pertaining to MaxCyte, Inc. 2026 Inducement Plan of our report dated March 25, 2026 with respect to the consolidated financial statements of MaxCyte, Inc. as of December 31, 2025 and 2024, and for the years then ended which report is included in the Annual Report on Form 10-K of MaxCyte, Inc. for the year ended December 31, 2025,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yte</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I</w:t>
      </w:r>
      <w:r>
        <w:rPr>
          <w:rFonts w:ascii="Times New Roman" w:cs="Times New Roman" w:eastAsia="Times New Roman" w:hAnsi="Times New Roman"/>
          <w:sz w:val="12"/>
          <w:szCs w:val="12"/>
          <w:b w:val="1"/>
          <w:bCs w:val="1"/>
          <w:color w:val="auto"/>
        </w:rPr>
        <w:t>nducement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arch</w:t>
      </w:r>
      <w:r>
        <w:rPr>
          <w:rFonts w:ascii="Times New Roman" w:cs="Times New Roman" w:eastAsia="Times New Roman" w:hAnsi="Times New Roman"/>
          <w:sz w:val="18"/>
          <w:szCs w:val="18"/>
          <w:b w:val="1"/>
          <w:bCs w:val="1"/>
          <w:color w:val="auto"/>
        </w:rPr>
        <w:t xml:space="preserve"> 29, 2026</w:t>
      </w:r>
    </w:p>
    <w:p>
      <w:pPr>
        <w:spacing w:after="0" w:line="220" w:lineRule="exact"/>
        <w:rPr>
          <w:sz w:val="20"/>
          <w:szCs w:val="20"/>
          <w:color w:val="auto"/>
        </w:rPr>
      </w:pPr>
    </w:p>
    <w:p>
      <w:pPr>
        <w:ind w:left="180" w:hanging="173"/>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jc w:val="both"/>
        <w:ind w:firstLine="648"/>
        <w:spacing w:after="0" w:line="252" w:lineRule="auto"/>
        <w:tabs>
          <w:tab w:leader="none" w:pos="898"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The only persons eligible to receive grants of Awards under this Plan are individuals who satisfy the standards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inducement grants under Nasdaq Marketplace Rule 5635(c)(4) or 5635(c)(3), if applicable, and the related guidance under Nasdaq IM 5635-1. A person who previously served as an Employee or Director will not be eligible to receive Awards under the Plan, other than following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period of non-employment. Persons eligible to receive grants of Awards under this Plan are referred to in this Plan as “</w:t>
      </w:r>
      <w:r>
        <w:rPr>
          <w:rFonts w:ascii="Times New Roman" w:cs="Times New Roman" w:eastAsia="Times New Roman" w:hAnsi="Times New Roman"/>
          <w:sz w:val="18"/>
          <w:szCs w:val="18"/>
          <w:b w:val="1"/>
          <w:bCs w:val="1"/>
          <w:i w:val="1"/>
          <w:iCs w:val="1"/>
          <w:color w:val="auto"/>
        </w:rPr>
        <w:t>Eligible Employees</w:t>
      </w:r>
      <w:r>
        <w:rPr>
          <w:rFonts w:ascii="Times New Roman" w:cs="Times New Roman" w:eastAsia="Times New Roman" w:hAnsi="Times New Roman"/>
          <w:sz w:val="18"/>
          <w:szCs w:val="18"/>
          <w:color w:val="auto"/>
        </w:rPr>
        <w:t>.” These Awards must be approved by either a majority of the Company’s “Independent Directors” (as such term is defined in Nasdaq Marketplace Rule 5605(a)(2)) (“</w:t>
      </w:r>
      <w:r>
        <w:rPr>
          <w:rFonts w:ascii="Times New Roman" w:cs="Times New Roman" w:eastAsia="Times New Roman" w:hAnsi="Times New Roman"/>
          <w:sz w:val="18"/>
          <w:szCs w:val="18"/>
          <w:b w:val="1"/>
          <w:bCs w:val="1"/>
          <w:i w:val="1"/>
          <w:i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or the Company’s compensation committee, provided such committee is comprised solely of Independent Directors of the Company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Compensation Committee</w:t>
      </w:r>
      <w:r>
        <w:rPr>
          <w:rFonts w:ascii="Times New Roman" w:cs="Times New Roman" w:eastAsia="Times New Roman" w:hAnsi="Times New Roman"/>
          <w:sz w:val="18"/>
          <w:szCs w:val="18"/>
          <w:color w:val="auto"/>
        </w:rPr>
        <w:t>”) in order to comply with the exemption from the stockholder approval requirement for “inducement grants” provided under Rule 5635(c)(4) of the Nasdaq Marketplace Rules. Nasdaq Marketplace Rule 5635(c)(4) and the related guidance under Nasdaq IM 5635-1 (together with any analogous rules or guidance effective after the date hereof, the “</w:t>
      </w:r>
      <w:r>
        <w:rPr>
          <w:rFonts w:ascii="Times New Roman" w:cs="Times New Roman" w:eastAsia="Times New Roman" w:hAnsi="Times New Roman"/>
          <w:sz w:val="18"/>
          <w:szCs w:val="18"/>
          <w:b w:val="1"/>
          <w:bCs w:val="1"/>
          <w:i w:val="1"/>
          <w:iCs w:val="1"/>
          <w:color w:val="auto"/>
        </w:rPr>
        <w:t>Inducement Award Rules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b w:val="1"/>
          <w:bCs w:val="1"/>
          <w:color w:val="auto"/>
        </w:rPr>
      </w:pPr>
    </w:p>
    <w:p>
      <w:pPr>
        <w:jc w:val="both"/>
        <w:ind w:firstLine="648"/>
        <w:spacing w:after="0" w:line="259" w:lineRule="auto"/>
        <w:tabs>
          <w:tab w:leader="none" w:pos="943"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intends to provide (i) a material inducement for certain individuals to enter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Company within the meaning of Rule 5635(c)(4) of the Nasdaq Marketplace Rules, (ii) incentives for such persons to exert maximum efforts for the success of the Company and any Affiliate and (iii) a means by which Eligible Employees may be given an opportunity to benefit from increases in value of the Common Stock through the granting of Awards.</w:t>
      </w:r>
    </w:p>
    <w:p>
      <w:pPr>
        <w:spacing w:after="0" w:line="175" w:lineRule="exact"/>
        <w:rPr>
          <w:rFonts w:ascii="Times New Roman" w:cs="Times New Roman" w:eastAsia="Times New Roman" w:hAnsi="Times New Roman"/>
          <w:sz w:val="18"/>
          <w:szCs w:val="18"/>
          <w:b w:val="1"/>
          <w:bCs w:val="1"/>
          <w:color w:val="auto"/>
        </w:rPr>
      </w:pPr>
    </w:p>
    <w:p>
      <w:pPr>
        <w:ind w:firstLine="648"/>
        <w:spacing w:after="0" w:line="282" w:lineRule="auto"/>
        <w:tabs>
          <w:tab w:leader="none" w:pos="897"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Nonstatutory Stock Options; (ii) SARs; (iii)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(iv) RSU Awards; (v) Performance Awards; and (vi) Other Awards.</w:t>
      </w:r>
    </w:p>
    <w:p>
      <w:pPr>
        <w:spacing w:after="0" w:line="154" w:lineRule="exact"/>
        <w:rPr>
          <w:rFonts w:ascii="Times New Roman" w:cs="Times New Roman" w:eastAsia="Times New Roman" w:hAnsi="Times New Roman"/>
          <w:sz w:val="18"/>
          <w:szCs w:val="18"/>
          <w:b w:val="1"/>
          <w:bCs w:val="1"/>
          <w:color w:val="auto"/>
        </w:rPr>
      </w:pPr>
    </w:p>
    <w:p>
      <w:pPr>
        <w:ind w:left="180" w:hanging="173"/>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ind w:firstLine="648"/>
        <w:spacing w:after="0" w:line="282"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2(b)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one million (1,000,000) shares.</w:t>
      </w:r>
    </w:p>
    <w:p>
      <w:pPr>
        <w:spacing w:after="0" w:line="154" w:lineRule="exact"/>
        <w:rPr>
          <w:rFonts w:ascii="Times New Roman" w:cs="Times New Roman" w:eastAsia="Times New Roman" w:hAnsi="Times New Roman"/>
          <w:sz w:val="18"/>
          <w:szCs w:val="18"/>
          <w:b w:val="1"/>
          <w:bCs w:val="1"/>
          <w:color w:val="auto"/>
        </w:rPr>
      </w:pPr>
    </w:p>
    <w:p>
      <w:pPr>
        <w:ind w:left="920" w:hanging="27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20" w:lineRule="exact"/>
        <w:rPr>
          <w:rFonts w:ascii="Times New Roman" w:cs="Times New Roman" w:eastAsia="Times New Roman" w:hAnsi="Times New Roman"/>
          <w:sz w:val="18"/>
          <w:szCs w:val="18"/>
          <w:b w:val="1"/>
          <w:bCs w:val="1"/>
          <w:color w:val="auto"/>
        </w:rPr>
      </w:pPr>
    </w:p>
    <w:p>
      <w:pPr>
        <w:jc w:val="both"/>
        <w:ind w:left="80" w:firstLine="1289"/>
        <w:spacing w:after="0" w:line="256" w:lineRule="auto"/>
        <w:tabs>
          <w:tab w:leader="none" w:pos="1587"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or other applicable rule, and such issuance will not reduce the number of shares available for issuance under the Plan.</w:t>
      </w:r>
    </w:p>
    <w:p>
      <w:pPr>
        <w:spacing w:after="0" w:line="178" w:lineRule="exact"/>
        <w:rPr>
          <w:rFonts w:ascii="Times New Roman" w:cs="Times New Roman" w:eastAsia="Times New Roman" w:hAnsi="Times New Roman"/>
          <w:sz w:val="18"/>
          <w:szCs w:val="18"/>
          <w:b w:val="1"/>
          <w:bCs w:val="1"/>
          <w:color w:val="auto"/>
        </w:rPr>
      </w:pPr>
    </w:p>
    <w:p>
      <w:pPr>
        <w:jc w:val="both"/>
        <w:ind w:left="80" w:firstLine="1289"/>
        <w:spacing w:after="0" w:line="254" w:lineRule="auto"/>
        <w:tabs>
          <w:tab w:leader="none" w:pos="1641"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9" w:name="page10"/>
    <w:bookmarkEnd w:id="9"/>
    <w:p>
      <w:pPr>
        <w:jc w:val="both"/>
        <w:ind w:left="80" w:firstLine="1289"/>
        <w:spacing w:after="0" w:line="269" w:lineRule="auto"/>
        <w:tabs>
          <w:tab w:leader="none" w:pos="1685" w:val="left"/>
        </w:tabs>
        <w:numPr>
          <w:ilvl w:val="3"/>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Reversion of Previously Issued Shares of Common Stock to Share Reserve. </w:t>
      </w:r>
      <w:r>
        <w:rPr>
          <w:rFonts w:ascii="Times New Roman" w:cs="Times New Roman" w:eastAsia="Times New Roman" w:hAnsi="Times New Roman"/>
          <w:sz w:val="17"/>
          <w:szCs w:val="17"/>
          <w:color w:val="auto"/>
        </w:rPr>
        <w:t>The following shares of Common Stock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w:t>
      </w:r>
    </w:p>
    <w:p>
      <w:pPr>
        <w:spacing w:after="0" w:line="1" w:lineRule="exact"/>
        <w:rPr>
          <w:rFonts w:ascii="Times New Roman" w:cs="Times New Roman" w:eastAsia="Times New Roman" w:hAnsi="Times New Roman"/>
          <w:sz w:val="17"/>
          <w:szCs w:val="17"/>
          <w:b w:val="1"/>
          <w:bCs w:val="1"/>
          <w:color w:val="auto"/>
        </w:rPr>
      </w:pPr>
    </w:p>
    <w:p>
      <w:pPr>
        <w:ind w:left="340" w:hanging="253"/>
        <w:spacing w:after="0"/>
        <w:tabs>
          <w:tab w:leader="none" w:pos="3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that are reacquired by the Company to satisfy a tax withholding obligation in connection with an Award.</w:t>
      </w:r>
    </w:p>
    <w:p>
      <w:pPr>
        <w:spacing w:after="0" w:line="197"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imitations</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jc w:val="both"/>
        <w:ind w:firstLine="648"/>
        <w:spacing w:after="0" w:line="265" w:lineRule="auto"/>
        <w:tabs>
          <w:tab w:leader="none" w:pos="902"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Awards may only be granted to persons who are Eligible Employees described in Section 1(a) of the Plan,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Award is a material inducement to the individual’s entering into employment with the Company or an Affiliate within the meaning of Rule 5635(c)(4) of the Nasdaq Marketplace Rules or is otherwise permitted pursuant to Rule 5635(c) of the Nasdaq Marketplace Rules.</w:t>
      </w:r>
    </w:p>
    <w:p>
      <w:pPr>
        <w:spacing w:after="0" w:line="169" w:lineRule="exact"/>
        <w:rPr>
          <w:rFonts w:ascii="Times New Roman" w:cs="Times New Roman" w:eastAsia="Times New Roman" w:hAnsi="Times New Roman"/>
          <w:sz w:val="18"/>
          <w:szCs w:val="18"/>
          <w:b w:val="1"/>
          <w:bCs w:val="1"/>
          <w:color w:val="auto"/>
        </w:rPr>
      </w:pPr>
    </w:p>
    <w:p>
      <w:pPr>
        <w:ind w:right="20" w:firstLine="648"/>
        <w:spacing w:after="0" w:line="282" w:lineRule="auto"/>
        <w:tabs>
          <w:tab w:leader="none" w:pos="937"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Requirements</w:t>
      </w:r>
      <w:r>
        <w:rPr>
          <w:rFonts w:ascii="Times New Roman" w:cs="Times New Roman" w:eastAsia="Times New Roman" w:hAnsi="Times New Roman"/>
          <w:sz w:val="18"/>
          <w:szCs w:val="18"/>
          <w:color w:val="auto"/>
        </w:rPr>
        <w:t>. All Awards must be granted either by a majority of the Company’s Independent Directors or the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Committee.</w:t>
      </w:r>
    </w:p>
    <w:p>
      <w:pPr>
        <w:spacing w:after="0" w:line="154" w:lineRule="exact"/>
        <w:rPr>
          <w:rFonts w:ascii="Times New Roman" w:cs="Times New Roman" w:eastAsia="Times New Roman" w:hAnsi="Times New Roman"/>
          <w:sz w:val="18"/>
          <w:szCs w:val="18"/>
          <w:b w:val="1"/>
          <w:bCs w:val="1"/>
          <w:color w:val="auto"/>
        </w:rPr>
      </w:pPr>
    </w:p>
    <w:p>
      <w:pPr>
        <w:ind w:left="180" w:hanging="173"/>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All Options will be Nonstatutory Stock Options.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78" w:lineRule="exact"/>
        <w:rPr>
          <w:sz w:val="20"/>
          <w:szCs w:val="20"/>
          <w:color w:val="auto"/>
        </w:rPr>
      </w:pPr>
    </w:p>
    <w:p>
      <w:pPr>
        <w:ind w:firstLine="648"/>
        <w:spacing w:after="0" w:line="282" w:lineRule="auto"/>
        <w:tabs>
          <w:tab w:leader="none" w:pos="90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No Option or SAR will be exercisable after the expiration of ten years from the date of grant of such Award or such shorter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Award Agreement.</w:t>
      </w:r>
    </w:p>
    <w:p>
      <w:pPr>
        <w:spacing w:after="0" w:line="154" w:lineRule="exact"/>
        <w:rPr>
          <w:rFonts w:ascii="Times New Roman" w:cs="Times New Roman" w:eastAsia="Times New Roman" w:hAnsi="Times New Roman"/>
          <w:sz w:val="18"/>
          <w:szCs w:val="18"/>
          <w:b w:val="1"/>
          <w:bCs w:val="1"/>
          <w:color w:val="auto"/>
        </w:rPr>
      </w:pPr>
    </w:p>
    <w:p>
      <w:pPr>
        <w:jc w:val="both"/>
        <w:ind w:firstLine="648"/>
        <w:spacing w:after="0" w:line="259" w:lineRule="auto"/>
        <w:tabs>
          <w:tab w:leader="none" w:pos="90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The exercise or strike price of each Option or SAR will not be less than 100% of the Fair Market Value on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 409A of the Code.</w:t>
      </w:r>
    </w:p>
    <w:p>
      <w:pPr>
        <w:spacing w:after="0" w:line="175" w:lineRule="exact"/>
        <w:rPr>
          <w:rFonts w:ascii="Times New Roman" w:cs="Times New Roman" w:eastAsia="Times New Roman" w:hAnsi="Times New Roman"/>
          <w:sz w:val="18"/>
          <w:szCs w:val="18"/>
          <w:b w:val="1"/>
          <w:bCs w:val="1"/>
          <w:color w:val="auto"/>
        </w:rPr>
      </w:pPr>
    </w:p>
    <w:p>
      <w:pPr>
        <w:jc w:val="both"/>
        <w:ind w:firstLine="648"/>
        <w:spacing w:after="0" w:line="254" w:lineRule="auto"/>
        <w:tabs>
          <w:tab w:leader="none" w:pos="9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3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0" w:name="page11"/>
    <w:bookmarkEnd w:id="10"/>
    <w:p>
      <w:pPr>
        <w:ind w:left="932" w:hanging="211"/>
        <w:spacing w:after="0"/>
        <w:tabs>
          <w:tab w:leader="none" w:pos="932"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20" w:lineRule="exact"/>
        <w:rPr>
          <w:rFonts w:ascii="Times New Roman" w:cs="Times New Roman" w:eastAsia="Times New Roman" w:hAnsi="Times New Roman"/>
          <w:sz w:val="18"/>
          <w:szCs w:val="18"/>
          <w:b w:val="1"/>
          <w:bCs w:val="1"/>
          <w:color w:val="auto"/>
        </w:rPr>
      </w:pPr>
    </w:p>
    <w:p>
      <w:pPr>
        <w:jc w:val="both"/>
        <w:ind w:left="-568" w:firstLine="1289"/>
        <w:spacing w:after="0" w:line="262" w:lineRule="auto"/>
        <w:tabs>
          <w:tab w:leader="none" w:pos="976"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United States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77" w:lineRule="exact"/>
        <w:rPr>
          <w:rFonts w:ascii="Times New Roman" w:cs="Times New Roman" w:eastAsia="Times New Roman" w:hAnsi="Times New Roman"/>
          <w:sz w:val="18"/>
          <w:szCs w:val="18"/>
          <w:b w:val="1"/>
          <w:bCs w:val="1"/>
          <w:color w:val="auto"/>
        </w:rPr>
      </w:pPr>
    </w:p>
    <w:p>
      <w:pPr>
        <w:jc w:val="both"/>
        <w:ind w:left="-568" w:firstLine="1289"/>
        <w:spacing w:after="0" w:line="252" w:lineRule="auto"/>
        <w:tabs>
          <w:tab w:leader="none" w:pos="103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the certificate, and (5) such shares have been held by the Participant for any minimum period necessary to avoid adverse accounting treatment as a result of such delivery;</w:t>
      </w:r>
    </w:p>
    <w:p>
      <w:pPr>
        <w:spacing w:after="0" w:line="188" w:lineRule="exact"/>
        <w:rPr>
          <w:rFonts w:ascii="Times New Roman" w:cs="Times New Roman" w:eastAsia="Times New Roman" w:hAnsi="Times New Roman"/>
          <w:sz w:val="18"/>
          <w:szCs w:val="18"/>
          <w:b w:val="1"/>
          <w:bCs w:val="1"/>
          <w:color w:val="auto"/>
        </w:rPr>
      </w:pPr>
    </w:p>
    <w:p>
      <w:pPr>
        <w:jc w:val="both"/>
        <w:ind w:left="-568" w:firstLine="1289"/>
        <w:spacing w:after="0" w:line="257" w:lineRule="auto"/>
        <w:tabs>
          <w:tab w:leader="none" w:pos="1016"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82" w:lineRule="exact"/>
        <w:rPr>
          <w:rFonts w:ascii="Times New Roman" w:cs="Times New Roman" w:eastAsia="Times New Roman" w:hAnsi="Times New Roman"/>
          <w:sz w:val="18"/>
          <w:szCs w:val="18"/>
          <w:b w:val="1"/>
          <w:bCs w:val="1"/>
          <w:color w:val="auto"/>
        </w:rPr>
      </w:pPr>
    </w:p>
    <w:p>
      <w:pPr>
        <w:ind w:left="972" w:hanging="251"/>
        <w:spacing w:after="0"/>
        <w:tabs>
          <w:tab w:leader="none" w:pos="972"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16" w:lineRule="exact"/>
        <w:rPr>
          <w:rFonts w:ascii="Times New Roman" w:cs="Times New Roman" w:eastAsia="Times New Roman" w:hAnsi="Times New Roman"/>
          <w:sz w:val="18"/>
          <w:szCs w:val="18"/>
          <w:b w:val="1"/>
          <w:bCs w:val="1"/>
          <w:color w:val="auto"/>
        </w:rPr>
      </w:pPr>
    </w:p>
    <w:p>
      <w:pPr>
        <w:jc w:val="both"/>
        <w:ind w:left="-648" w:firstLine="648"/>
        <w:spacing w:after="0" w:line="254" w:lineRule="auto"/>
        <w:tabs>
          <w:tab w:leader="none" w:pos="26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81" w:lineRule="exact"/>
        <w:rPr>
          <w:rFonts w:ascii="Times New Roman" w:cs="Times New Roman" w:eastAsia="Times New Roman" w:hAnsi="Times New Roman"/>
          <w:sz w:val="18"/>
          <w:szCs w:val="18"/>
          <w:b w:val="1"/>
          <w:bCs w:val="1"/>
          <w:color w:val="auto"/>
        </w:rPr>
      </w:pPr>
    </w:p>
    <w:p>
      <w:pPr>
        <w:jc w:val="both"/>
        <w:ind w:left="-568" w:firstLine="568"/>
        <w:spacing w:after="0" w:line="259" w:lineRule="auto"/>
        <w:tabs>
          <w:tab w:leader="none" w:pos="2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w:t>
      </w:r>
    </w:p>
    <w:p>
      <w:pPr>
        <w:spacing w:after="0" w:line="175" w:lineRule="exact"/>
        <w:rPr>
          <w:rFonts w:ascii="Times New Roman" w:cs="Times New Roman" w:eastAsia="Times New Roman" w:hAnsi="Times New Roman"/>
          <w:sz w:val="18"/>
          <w:szCs w:val="18"/>
          <w:b w:val="1"/>
          <w:bCs w:val="1"/>
          <w:color w:val="auto"/>
        </w:rPr>
      </w:pPr>
    </w:p>
    <w:p>
      <w:pPr>
        <w:jc w:val="both"/>
        <w:ind w:left="-568" w:firstLine="1289"/>
        <w:spacing w:after="0" w:line="256" w:lineRule="auto"/>
        <w:tabs>
          <w:tab w:leader="none" w:pos="936"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U.S. state law) while such Option or SAR is held in such trust, provided that the Participant and the trustee enter into a transfer and other agreements required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415925</wp:posOffset>
            </wp:positionV>
            <wp:extent cx="7133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6" w:right="339" w:bottom="1440" w:gutter="0" w:footer="0" w:header="0"/>
        </w:sectPr>
      </w:pPr>
    </w:p>
    <w:bookmarkStart w:id="11" w:name="page12"/>
    <w:bookmarkEnd w:id="11"/>
    <w:p>
      <w:pPr>
        <w:jc w:val="both"/>
        <w:ind w:left="80" w:firstLine="1289"/>
        <w:spacing w:after="0" w:line="265" w:lineRule="auto"/>
        <w:tabs>
          <w:tab w:leader="none" w:pos="1624"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169" w:lineRule="exact"/>
        <w:rPr>
          <w:rFonts w:ascii="Times New Roman" w:cs="Times New Roman" w:eastAsia="Times New Roman" w:hAnsi="Times New Roman"/>
          <w:sz w:val="18"/>
          <w:szCs w:val="18"/>
          <w:b w:val="1"/>
          <w:bCs w:val="1"/>
          <w:color w:val="auto"/>
        </w:rPr>
      </w:pPr>
    </w:p>
    <w:p>
      <w:pPr>
        <w:jc w:val="both"/>
        <w:ind w:firstLine="648"/>
        <w:spacing w:after="0" w:line="265" w:lineRule="auto"/>
        <w:tabs>
          <w:tab w:leader="none" w:pos="86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Except as otherwise provided in the applicable Award Agreement or other written agreement between a Participant and the Company or an Affiliate, vesting of Options and SARs will cease upon termination of the Participant’s Continuous Service.</w:t>
      </w:r>
    </w:p>
    <w:p>
      <w:pPr>
        <w:spacing w:after="0" w:line="169" w:lineRule="exact"/>
        <w:rPr>
          <w:rFonts w:ascii="Times New Roman" w:cs="Times New Roman" w:eastAsia="Times New Roman" w:hAnsi="Times New Roman"/>
          <w:sz w:val="18"/>
          <w:szCs w:val="18"/>
          <w:b w:val="1"/>
          <w:bCs w:val="1"/>
          <w:color w:val="auto"/>
        </w:rPr>
      </w:pPr>
    </w:p>
    <w:p>
      <w:pPr>
        <w:jc w:val="both"/>
        <w:ind w:firstLine="648"/>
        <w:spacing w:after="0" w:line="275" w:lineRule="auto"/>
        <w:tabs>
          <w:tab w:leader="none" w:pos="907"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Termination of Continuous Service for Cause. </w:t>
      </w:r>
      <w:r>
        <w:rPr>
          <w:rFonts w:ascii="Times New Roman" w:cs="Times New Roman" w:eastAsia="Times New Roman" w:hAnsi="Times New Roman"/>
          <w:sz w:val="17"/>
          <w:szCs w:val="17"/>
          <w:color w:val="auto"/>
        </w:rPr>
        <w:t>Except as explicitly otherwise provided in the Award Agreement or other written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62" w:lineRule="exact"/>
        <w:rPr>
          <w:rFonts w:ascii="Times New Roman" w:cs="Times New Roman" w:eastAsia="Times New Roman" w:hAnsi="Times New Roman"/>
          <w:sz w:val="17"/>
          <w:szCs w:val="17"/>
          <w:b w:val="1"/>
          <w:bCs w:val="1"/>
          <w:color w:val="auto"/>
        </w:rPr>
      </w:pPr>
    </w:p>
    <w:p>
      <w:pPr>
        <w:jc w:val="both"/>
        <w:ind w:firstLine="648"/>
        <w:spacing w:after="0" w:line="256" w:lineRule="auto"/>
        <w:tabs>
          <w:tab w:leader="none" w:pos="90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2" w:lineRule="exact"/>
        <w:rPr>
          <w:rFonts w:ascii="Times New Roman" w:cs="Times New Roman" w:eastAsia="Times New Roman" w:hAnsi="Times New Roman"/>
          <w:sz w:val="18"/>
          <w:szCs w:val="18"/>
          <w:b w:val="1"/>
          <w:bCs w:val="1"/>
          <w:color w:val="auto"/>
        </w:rPr>
      </w:pPr>
    </w:p>
    <w:p>
      <w:pPr>
        <w:ind w:left="80" w:firstLine="1289"/>
        <w:spacing w:after="0" w:line="277" w:lineRule="auto"/>
        <w:tabs>
          <w:tab w:leader="none" w:pos="1575"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63" w:lineRule="exact"/>
        <w:rPr>
          <w:sz w:val="20"/>
          <w:szCs w:val="20"/>
          <w:color w:val="auto"/>
        </w:rPr>
      </w:pPr>
    </w:p>
    <w:p>
      <w:pPr>
        <w:ind w:left="1640" w:hanging="271"/>
        <w:spacing w:after="0"/>
        <w:tabs>
          <w:tab w:leader="none" w:pos="1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0" w:lineRule="exact"/>
        <w:rPr>
          <w:rFonts w:ascii="Times New Roman" w:cs="Times New Roman" w:eastAsia="Times New Roman" w:hAnsi="Times New Roman"/>
          <w:sz w:val="18"/>
          <w:szCs w:val="18"/>
          <w:b w:val="1"/>
          <w:bCs w:val="1"/>
          <w:color w:val="auto"/>
        </w:rPr>
      </w:pPr>
    </w:p>
    <w:p>
      <w:pPr>
        <w:ind w:left="1680" w:hanging="311"/>
        <w:spacing w:after="0"/>
        <w:tabs>
          <w:tab w:leader="none" w:pos="1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20" w:lineRule="exact"/>
        <w:rPr>
          <w:rFonts w:ascii="Times New Roman" w:cs="Times New Roman" w:eastAsia="Times New Roman" w:hAnsi="Times New Roman"/>
          <w:sz w:val="18"/>
          <w:szCs w:val="18"/>
          <w:b w:val="1"/>
          <w:bCs w:val="1"/>
          <w:color w:val="auto"/>
        </w:rPr>
      </w:pPr>
    </w:p>
    <w:p>
      <w:pPr>
        <w:ind w:left="80" w:firstLine="1289"/>
        <w:spacing w:after="0" w:line="277" w:lineRule="auto"/>
        <w:tabs>
          <w:tab w:leader="none" w:pos="167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2" w:name="page13"/>
    <w:bookmarkEnd w:id="12"/>
    <w:p>
      <w:pPr>
        <w:jc w:val="both"/>
        <w:ind w:left="-7" w:firstLine="648"/>
        <w:spacing w:after="0" w:line="252" w:lineRule="auto"/>
        <w:tabs>
          <w:tab w:leader="none" w:pos="849"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the exercise of the Participant’s Option or SAR would be prohibited solely because the issuance of shares of Common Stock upon such exercise would violate Applicable Law (as determined in the sole discretion of the Board),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81" w:lineRule="exact"/>
        <w:rPr>
          <w:rFonts w:ascii="Times New Roman" w:cs="Times New Roman" w:eastAsia="Times New Roman" w:hAnsi="Times New Roman"/>
          <w:sz w:val="18"/>
          <w:szCs w:val="18"/>
          <w:b w:val="1"/>
          <w:bCs w:val="1"/>
          <w:color w:val="auto"/>
        </w:rPr>
      </w:pPr>
    </w:p>
    <w:p>
      <w:pPr>
        <w:jc w:val="both"/>
        <w:ind w:left="-7" w:firstLine="648"/>
        <w:spacing w:after="0" w:line="252" w:lineRule="auto"/>
        <w:tabs>
          <w:tab w:leader="none" w:pos="857"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No Option or SAR, whether or not vested, granted to an Employee who is a non-exempt employee for purposes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Fair Labor Standards Act of 1938, as amended, will be first exercisable for any shares of Common Stock until at least six months following the date of grant of such Award. Notwithstanding the foregoing, in accordance with the provisions of the United States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4" w:lineRule="exact"/>
        <w:rPr>
          <w:rFonts w:ascii="Times New Roman" w:cs="Times New Roman" w:eastAsia="Times New Roman" w:hAnsi="Times New Roman"/>
          <w:sz w:val="18"/>
          <w:szCs w:val="18"/>
          <w:b w:val="1"/>
          <w:bCs w:val="1"/>
          <w:color w:val="auto"/>
        </w:rPr>
      </w:pPr>
    </w:p>
    <w:p>
      <w:pPr>
        <w:ind w:left="913" w:hanging="272"/>
        <w:spacing w:after="0"/>
        <w:tabs>
          <w:tab w:leader="none" w:pos="913"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Options and SARs may be exercised only with respect to whole shares of Common Stock or their equivalents.</w:t>
      </w:r>
    </w:p>
    <w:p>
      <w:pPr>
        <w:spacing w:after="0" w:line="220" w:lineRule="exact"/>
        <w:rPr>
          <w:rFonts w:ascii="Times New Roman" w:cs="Times New Roman" w:eastAsia="Times New Roman" w:hAnsi="Times New Roman"/>
          <w:sz w:val="18"/>
          <w:szCs w:val="18"/>
          <w:b w:val="1"/>
          <w:bCs w:val="1"/>
          <w:color w:val="auto"/>
        </w:rPr>
      </w:pPr>
    </w:p>
    <w:p>
      <w:pPr>
        <w:ind w:left="173" w:hanging="173"/>
        <w:spacing w:after="0"/>
        <w:tabs>
          <w:tab w:leader="none" w:pos="17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jc w:val="both"/>
        <w:ind w:left="-7" w:firstLine="648"/>
        <w:spacing w:after="0" w:line="265" w:lineRule="auto"/>
        <w:tabs>
          <w:tab w:leader="none" w:pos="889"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69" w:lineRule="exact"/>
        <w:rPr>
          <w:rFonts w:ascii="Times New Roman" w:cs="Times New Roman" w:eastAsia="Times New Roman" w:hAnsi="Times New Roman"/>
          <w:sz w:val="18"/>
          <w:szCs w:val="18"/>
          <w:b w:val="1"/>
          <w:bCs w:val="1"/>
          <w:color w:val="auto"/>
        </w:rPr>
      </w:pPr>
    </w:p>
    <w:p>
      <w:pPr>
        <w:ind w:left="1493" w:hanging="211"/>
        <w:spacing w:after="0"/>
        <w:tabs>
          <w:tab w:leader="none" w:pos="1493"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24" w:lineRule="exact"/>
        <w:rPr>
          <w:rFonts w:ascii="Times New Roman" w:cs="Times New Roman" w:eastAsia="Times New Roman" w:hAnsi="Times New Roman"/>
          <w:sz w:val="18"/>
          <w:szCs w:val="18"/>
          <w:b w:val="1"/>
          <w:bCs w:val="1"/>
          <w:color w:val="auto"/>
        </w:rPr>
      </w:pPr>
    </w:p>
    <w:p>
      <w:pPr>
        <w:jc w:val="both"/>
        <w:ind w:left="-7" w:firstLine="1930"/>
        <w:spacing w:after="0" w:line="257" w:lineRule="auto"/>
        <w:tabs>
          <w:tab w:leader="none" w:pos="2182" w:val="left"/>
        </w:tabs>
        <w:numPr>
          <w:ilvl w:val="3"/>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2" w:lineRule="exact"/>
        <w:rPr>
          <w:rFonts w:ascii="Times New Roman" w:cs="Times New Roman" w:eastAsia="Times New Roman" w:hAnsi="Times New Roman"/>
          <w:sz w:val="18"/>
          <w:szCs w:val="18"/>
          <w:b w:val="1"/>
          <w:bCs w:val="1"/>
          <w:color w:val="auto"/>
        </w:rPr>
      </w:pPr>
    </w:p>
    <w:p>
      <w:pPr>
        <w:jc w:val="both"/>
        <w:ind w:left="-7" w:firstLine="1930"/>
        <w:spacing w:after="0" w:line="253" w:lineRule="auto"/>
        <w:tabs>
          <w:tab w:leader="none" w:pos="2182" w:val="left"/>
        </w:tabs>
        <w:numPr>
          <w:ilvl w:val="3"/>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3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2" w:right="339" w:bottom="1440" w:gutter="0" w:footer="0" w:header="0"/>
        </w:sectPr>
      </w:pPr>
    </w:p>
    <w:bookmarkStart w:id="13" w:name="page14"/>
    <w:bookmarkEnd w:id="13"/>
    <w:p>
      <w:pPr>
        <w:ind w:left="1560" w:hanging="271"/>
        <w:spacing w:after="0"/>
        <w:tabs>
          <w:tab w:leader="none" w:pos="15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24" w:lineRule="exact"/>
        <w:rPr>
          <w:rFonts w:ascii="Times New Roman" w:cs="Times New Roman" w:eastAsia="Times New Roman" w:hAnsi="Times New Roman"/>
          <w:sz w:val="18"/>
          <w:szCs w:val="18"/>
          <w:b w:val="1"/>
          <w:bCs w:val="1"/>
          <w:color w:val="auto"/>
        </w:rPr>
      </w:pPr>
    </w:p>
    <w:p>
      <w:pPr>
        <w:jc w:val="both"/>
        <w:ind w:left="-80" w:firstLine="1930"/>
        <w:spacing w:after="0" w:line="262" w:lineRule="auto"/>
        <w:tabs>
          <w:tab w:leader="none" w:pos="2096"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as the Board may determine and permissible under Applicable Law.</w:t>
      </w:r>
    </w:p>
    <w:p>
      <w:pPr>
        <w:spacing w:after="0" w:line="177" w:lineRule="exact"/>
        <w:rPr>
          <w:rFonts w:ascii="Times New Roman" w:cs="Times New Roman" w:eastAsia="Times New Roman" w:hAnsi="Times New Roman"/>
          <w:sz w:val="18"/>
          <w:szCs w:val="18"/>
          <w:b w:val="1"/>
          <w:bCs w:val="1"/>
          <w:color w:val="auto"/>
        </w:rPr>
      </w:pPr>
    </w:p>
    <w:p>
      <w:pPr>
        <w:jc w:val="both"/>
        <w:ind w:left="-80" w:firstLine="1930"/>
        <w:spacing w:after="0" w:line="253" w:lineRule="auto"/>
        <w:tabs>
          <w:tab w:leader="none" w:pos="2096"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2" w:lineRule="exact"/>
        <w:rPr>
          <w:rFonts w:ascii="Times New Roman" w:cs="Times New Roman" w:eastAsia="Times New Roman" w:hAnsi="Times New Roman"/>
          <w:sz w:val="18"/>
          <w:szCs w:val="18"/>
          <w:b w:val="1"/>
          <w:bCs w:val="1"/>
          <w:color w:val="auto"/>
        </w:rPr>
      </w:pPr>
    </w:p>
    <w:p>
      <w:pPr>
        <w:jc w:val="both"/>
        <w:ind w:firstLine="1289"/>
        <w:spacing w:after="0" w:line="265" w:lineRule="auto"/>
        <w:tabs>
          <w:tab w:leader="none" w:pos="161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69" w:lineRule="exact"/>
        <w:rPr>
          <w:rFonts w:ascii="Times New Roman" w:cs="Times New Roman" w:eastAsia="Times New Roman" w:hAnsi="Times New Roman"/>
          <w:sz w:val="18"/>
          <w:szCs w:val="18"/>
          <w:b w:val="1"/>
          <w:bCs w:val="1"/>
          <w:color w:val="auto"/>
        </w:rPr>
      </w:pPr>
    </w:p>
    <w:p>
      <w:pPr>
        <w:jc w:val="both"/>
        <w:ind w:firstLine="1289"/>
        <w:spacing w:after="0" w:line="254" w:lineRule="auto"/>
        <w:tabs>
          <w:tab w:leader="none" w:pos="159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82" w:lineRule="exact"/>
        <w:rPr>
          <w:sz w:val="20"/>
          <w:szCs w:val="20"/>
          <w:color w:val="auto"/>
        </w:rPr>
      </w:pPr>
    </w:p>
    <w:p>
      <w:pPr>
        <w:ind w:firstLine="1282"/>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 Dividends and Dividend Equivalents.</w:t>
      </w:r>
      <w:r>
        <w:rPr>
          <w:rFonts w:ascii="Times New Roman" w:cs="Times New Roman" w:eastAsia="Times New Roman" w:hAnsi="Times New Roman"/>
          <w:sz w:val="18"/>
          <w:szCs w:val="18"/>
          <w:color w:val="auto"/>
        </w:rPr>
        <w:t xml:space="preserve"> Dividends or dividend equivalents may be paid or credited, as applicable, with respect to any shares of Common Stock subject to a Restricted Stock Award or RSU Award, as determined by the Board and specified in the Award Agreement.</w:t>
      </w:r>
    </w:p>
    <w:p>
      <w:pPr>
        <w:spacing w:after="0" w:line="155" w:lineRule="exact"/>
        <w:rPr>
          <w:sz w:val="20"/>
          <w:szCs w:val="20"/>
          <w:color w:val="auto"/>
        </w:rPr>
      </w:pPr>
    </w:p>
    <w:p>
      <w:pPr>
        <w:jc w:val="both"/>
        <w:ind w:right="20" w:firstLine="1289"/>
        <w:spacing w:after="0" w:line="265" w:lineRule="auto"/>
        <w:tabs>
          <w:tab w:leader="none" w:pos="158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An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410210</wp:posOffset>
            </wp:positionV>
            <wp:extent cx="7133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60"/>
          </w:cols>
          <w:pgMar w:left="400" w:top="892" w:right="339" w:bottom="1440" w:gutter="0" w:footer="0" w:header="0"/>
        </w:sectPr>
      </w:pPr>
    </w:p>
    <w:bookmarkStart w:id="14" w:name="page15"/>
    <w:bookmarkEnd w:id="14"/>
    <w:p>
      <w:pPr>
        <w:jc w:val="both"/>
        <w:ind w:left="-7" w:firstLine="648"/>
        <w:spacing w:after="0" w:line="265" w:lineRule="auto"/>
        <w:tabs>
          <w:tab w:leader="none" w:pos="903"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69" w:lineRule="exact"/>
        <w:rPr>
          <w:rFonts w:ascii="Times New Roman" w:cs="Times New Roman" w:eastAsia="Times New Roman" w:hAnsi="Times New Roman"/>
          <w:sz w:val="18"/>
          <w:szCs w:val="18"/>
          <w:b w:val="1"/>
          <w:bCs w:val="1"/>
          <w:color w:val="auto"/>
        </w:rPr>
      </w:pPr>
    </w:p>
    <w:p>
      <w:pPr>
        <w:jc w:val="both"/>
        <w:ind w:left="-7" w:firstLine="648"/>
        <w:spacing w:after="0" w:line="279" w:lineRule="auto"/>
        <w:tabs>
          <w:tab w:leader="none" w:pos="877" w:val="left"/>
        </w:tabs>
        <w:numPr>
          <w:ilvl w:val="1"/>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Awards</w:t>
      </w:r>
      <w:r>
        <w:rPr>
          <w:rFonts w:ascii="Times New Roman" w:cs="Times New Roman" w:eastAsia="Times New Roman" w:hAnsi="Times New Roman"/>
          <w:sz w:val="17"/>
          <w:szCs w:val="17"/>
          <w:color w:val="auto"/>
        </w:rPr>
        <w:t>. Other Awards may be granted either alone or in addition to Awards provided for under Section 4 and the preceding provisions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Section 5. Subject to the provisions of the Plan, a majority of the Company’s Independent Directors or the Independent Compensation Committee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59" w:lineRule="exact"/>
        <w:rPr>
          <w:rFonts w:ascii="Times New Roman" w:cs="Times New Roman" w:eastAsia="Times New Roman" w:hAnsi="Times New Roman"/>
          <w:sz w:val="17"/>
          <w:szCs w:val="17"/>
          <w:b w:val="1"/>
          <w:bCs w:val="1"/>
          <w:color w:val="auto"/>
        </w:rPr>
      </w:pPr>
    </w:p>
    <w:p>
      <w:pPr>
        <w:ind w:left="173" w:hanging="173"/>
        <w:spacing w:after="0"/>
        <w:tabs>
          <w:tab w:leader="none" w:pos="173"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jc w:val="both"/>
        <w:ind w:left="-7" w:firstLine="648"/>
        <w:spacing w:after="0" w:line="254" w:lineRule="auto"/>
        <w:tabs>
          <w:tab w:leader="none" w:pos="913"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1" w:lineRule="exact"/>
        <w:rPr>
          <w:rFonts w:ascii="Times New Roman" w:cs="Times New Roman" w:eastAsia="Times New Roman" w:hAnsi="Times New Roman"/>
          <w:sz w:val="18"/>
          <w:szCs w:val="18"/>
          <w:b w:val="1"/>
          <w:bCs w:val="1"/>
          <w:color w:val="auto"/>
        </w:rPr>
      </w:pPr>
    </w:p>
    <w:p>
      <w:pPr>
        <w:jc w:val="both"/>
        <w:ind w:left="-7" w:firstLine="648"/>
        <w:spacing w:after="0" w:line="253" w:lineRule="auto"/>
        <w:tabs>
          <w:tab w:leader="none" w:pos="897"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jc w:val="both"/>
        <w:ind w:left="73" w:firstLine="568"/>
        <w:spacing w:after="0" w:line="265" w:lineRule="auto"/>
        <w:tabs>
          <w:tab w:leader="none" w:pos="87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 Section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unless otherwise provided in the instrument evidencing the Award or any other written agreement between the Company or any Affiliate and the Participant or unless otherwise expressly provided by the Board at the time of grant of an Award.</w:t>
      </w:r>
    </w:p>
    <w:p>
      <w:pPr>
        <w:spacing w:after="0" w:line="169" w:lineRule="exact"/>
        <w:rPr>
          <w:sz w:val="20"/>
          <w:szCs w:val="20"/>
          <w:color w:val="auto"/>
        </w:rPr>
      </w:pPr>
    </w:p>
    <w:p>
      <w:pPr>
        <w:jc w:val="both"/>
        <w:ind w:left="73" w:firstLine="568"/>
        <w:spacing w:after="0" w:line="252" w:lineRule="auto"/>
        <w:tabs>
          <w:tab w:leader="none" w:pos="86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 surviving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2" w:right="339" w:bottom="1440" w:gutter="0" w:footer="0" w:header="0"/>
        </w:sectPr>
      </w:pPr>
    </w:p>
    <w:bookmarkStart w:id="15" w:name="page16"/>
    <w:bookmarkEnd w:id="15"/>
    <w:p>
      <w:pPr>
        <w:jc w:val="both"/>
        <w:ind w:left="-7" w:firstLine="1289"/>
        <w:spacing w:after="0" w:line="264" w:lineRule="auto"/>
        <w:tabs>
          <w:tab w:leader="none" w:pos="1559" w:val="left"/>
        </w:tabs>
        <w:numPr>
          <w:ilvl w:val="2"/>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Awards Held by Current Participants. </w:t>
      </w:r>
      <w:r>
        <w:rPr>
          <w:rFonts w:ascii="Times New Roman" w:cs="Times New Roman" w:eastAsia="Times New Roman" w:hAnsi="Times New Roman"/>
          <w:sz w:val="17"/>
          <w:szCs w:val="17"/>
          <w:color w:val="auto"/>
        </w:rPr>
        <w:t>In the event of a Corporate Transaction in which the surviving corporation or acquiring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7"/>
          <w:szCs w:val="17"/>
          <w:b w:val="1"/>
          <w:bCs w:val="1"/>
          <w:color w:val="auto"/>
        </w:rPr>
        <w:t>Current Participants</w:t>
      </w:r>
      <w:r>
        <w:rPr>
          <w:rFonts w:ascii="Times New Roman" w:cs="Times New Roman" w:eastAsia="Times New Roman" w:hAnsi="Times New Roman"/>
          <w:sz w:val="17"/>
          <w:szCs w:val="17"/>
          <w:color w:val="auto"/>
        </w:rPr>
        <w:t>”), the vesting of such Awards (and, with respect to Options and SARs,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w:t>
      </w:r>
    </w:p>
    <w:p>
      <w:pPr>
        <w:spacing w:after="0" w:line="7" w:lineRule="exact"/>
        <w:rPr>
          <w:rFonts w:ascii="Times New Roman" w:cs="Times New Roman" w:eastAsia="Times New Roman" w:hAnsi="Times New Roman"/>
          <w:sz w:val="17"/>
          <w:szCs w:val="17"/>
          <w:b w:val="1"/>
          <w:bCs w:val="1"/>
          <w:color w:val="auto"/>
        </w:rPr>
      </w:pPr>
    </w:p>
    <w:p>
      <w:pPr>
        <w:ind w:left="-7" w:firstLine="7"/>
        <w:spacing w:after="0" w:line="255" w:lineRule="auto"/>
        <w:tabs>
          <w:tab w:leader="none" w:pos="28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are settled in the form of a cash payment, such cash payment will be made no later than 30 days following the occurrence of the Corporate Transaction.</w:t>
      </w:r>
    </w:p>
    <w:p>
      <w:pPr>
        <w:spacing w:after="0" w:line="178" w:lineRule="exact"/>
        <w:rPr>
          <w:rFonts w:ascii="Times New Roman" w:cs="Times New Roman" w:eastAsia="Times New Roman" w:hAnsi="Times New Roman"/>
          <w:sz w:val="18"/>
          <w:szCs w:val="18"/>
          <w:color w:val="auto"/>
        </w:rPr>
      </w:pPr>
    </w:p>
    <w:p>
      <w:pPr>
        <w:jc w:val="both"/>
        <w:ind w:left="-7" w:firstLine="1289"/>
        <w:spacing w:after="0" w:line="254" w:lineRule="auto"/>
        <w:tabs>
          <w:tab w:leader="none" w:pos="1622"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1" w:lineRule="exact"/>
        <w:rPr>
          <w:rFonts w:ascii="Times New Roman" w:cs="Times New Roman" w:eastAsia="Times New Roman" w:hAnsi="Times New Roman"/>
          <w:sz w:val="18"/>
          <w:szCs w:val="18"/>
          <w:b w:val="1"/>
          <w:bCs w:val="1"/>
          <w:color w:val="auto"/>
        </w:rPr>
      </w:pPr>
    </w:p>
    <w:p>
      <w:pPr>
        <w:jc w:val="both"/>
        <w:ind w:left="-7" w:firstLine="1289"/>
        <w:spacing w:after="0" w:line="256" w:lineRule="auto"/>
        <w:tabs>
          <w:tab w:leader="none" w:pos="1579"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8" w:lineRule="exact"/>
        <w:rPr>
          <w:rFonts w:ascii="Times New Roman" w:cs="Times New Roman" w:eastAsia="Times New Roman" w:hAnsi="Times New Roman"/>
          <w:sz w:val="18"/>
          <w:szCs w:val="18"/>
          <w:b w:val="1"/>
          <w:bCs w:val="1"/>
          <w:color w:val="auto"/>
        </w:rPr>
      </w:pPr>
    </w:p>
    <w:p>
      <w:pPr>
        <w:jc w:val="both"/>
        <w:ind w:left="-7" w:firstLine="568"/>
        <w:spacing w:after="0" w:line="259" w:lineRule="auto"/>
        <w:tabs>
          <w:tab w:leader="none" w:pos="813"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5" w:lineRule="exact"/>
        <w:rPr>
          <w:rFonts w:ascii="Times New Roman" w:cs="Times New Roman" w:eastAsia="Times New Roman" w:hAnsi="Times New Roman"/>
          <w:sz w:val="18"/>
          <w:szCs w:val="18"/>
          <w:b w:val="1"/>
          <w:bCs w:val="1"/>
          <w:color w:val="auto"/>
        </w:rPr>
      </w:pPr>
    </w:p>
    <w:p>
      <w:pPr>
        <w:jc w:val="both"/>
        <w:ind w:left="-87" w:firstLine="648"/>
        <w:spacing w:after="0" w:line="254" w:lineRule="auto"/>
        <w:tabs>
          <w:tab w:leader="none" w:pos="798"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417830</wp:posOffset>
            </wp:positionV>
            <wp:extent cx="7133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53"/>
          </w:cols>
          <w:pgMar w:left="407" w:top="892" w:right="339" w:bottom="1440" w:gutter="0" w:footer="0" w:header="0"/>
        </w:sectPr>
      </w:pPr>
    </w:p>
    <w:bookmarkStart w:id="16" w:name="page17"/>
    <w:bookmarkEnd w:id="16"/>
    <w:p>
      <w:pPr>
        <w:ind w:left="180" w:hanging="173"/>
        <w:spacing w:after="0"/>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jc w:val="both"/>
        <w:ind w:firstLine="648"/>
        <w:spacing w:after="0" w:line="271" w:lineRule="auto"/>
        <w:tabs>
          <w:tab w:leader="none" w:pos="898" w:val="left"/>
        </w:tabs>
        <w:numPr>
          <w:ilvl w:val="1"/>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Administration by Board. </w:t>
      </w:r>
      <w:r>
        <w:rPr>
          <w:rFonts w:ascii="Times New Roman" w:cs="Times New Roman" w:eastAsia="Times New Roman" w:hAnsi="Times New Roman"/>
          <w:sz w:val="17"/>
          <w:szCs w:val="17"/>
          <w:color w:val="auto"/>
        </w:rPr>
        <w:t>The Board will administer the Plan; provided, however, that Awards may only be granted by either (i) a majority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Company’s Independent Directors or (ii) the Independent Compensation Committee. Subject to those constraints and the other constraints of the Inducement Award Rules, the Board may delegate some of its powers of administration of the Plan to a Committee or Committees, as provided in subsection</w:t>
      </w:r>
    </w:p>
    <w:p>
      <w:pPr>
        <w:spacing w:after="0" w:line="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(c) below and references herein to “Board” shall include the Committee to the extent such authority has been delegated.</w:t>
      </w:r>
    </w:p>
    <w:p>
      <w:pPr>
        <w:spacing w:after="0" w:line="197" w:lineRule="exact"/>
        <w:rPr>
          <w:rFonts w:ascii="Times New Roman" w:cs="Times New Roman" w:eastAsia="Times New Roman" w:hAnsi="Times New Roman"/>
          <w:sz w:val="17"/>
          <w:szCs w:val="17"/>
          <w:b w:val="1"/>
          <w:bCs w:val="1"/>
          <w:color w:val="auto"/>
        </w:rPr>
      </w:pPr>
    </w:p>
    <w:p>
      <w:pPr>
        <w:ind w:firstLine="648"/>
        <w:spacing w:after="0" w:line="282" w:lineRule="auto"/>
        <w:tabs>
          <w:tab w:leader="none" w:pos="935"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Inducement Award Rules:</w:t>
      </w:r>
    </w:p>
    <w:p>
      <w:pPr>
        <w:spacing w:after="0" w:line="158" w:lineRule="exact"/>
        <w:rPr>
          <w:rFonts w:ascii="Times New Roman" w:cs="Times New Roman" w:eastAsia="Times New Roman" w:hAnsi="Times New Roman"/>
          <w:sz w:val="18"/>
          <w:szCs w:val="18"/>
          <w:b w:val="1"/>
          <w:bCs w:val="1"/>
          <w:color w:val="auto"/>
        </w:rPr>
      </w:pPr>
    </w:p>
    <w:p>
      <w:pPr>
        <w:jc w:val="both"/>
        <w:ind w:left="80" w:firstLine="1289"/>
        <w:spacing w:after="0" w:line="252" w:lineRule="auto"/>
        <w:tabs>
          <w:tab w:leader="none" w:pos="1588"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provided, however, that Awards may only be granted by either (i) a majority of the Company’s Independent Directors or (ii) the Independent Compensation Committee.</w:t>
      </w:r>
    </w:p>
    <w:p>
      <w:pPr>
        <w:spacing w:after="0" w:line="188" w:lineRule="exact"/>
        <w:rPr>
          <w:rFonts w:ascii="Times New Roman" w:cs="Times New Roman" w:eastAsia="Times New Roman" w:hAnsi="Times New Roman"/>
          <w:sz w:val="18"/>
          <w:szCs w:val="18"/>
          <w:b w:val="1"/>
          <w:bCs w:val="1"/>
          <w:color w:val="auto"/>
        </w:rPr>
      </w:pPr>
    </w:p>
    <w:p>
      <w:pPr>
        <w:jc w:val="both"/>
        <w:ind w:left="80" w:firstLine="1289"/>
        <w:spacing w:after="0" w:line="262" w:lineRule="auto"/>
        <w:tabs>
          <w:tab w:leader="none" w:pos="1638"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77" w:lineRule="exact"/>
        <w:rPr>
          <w:rFonts w:ascii="Times New Roman" w:cs="Times New Roman" w:eastAsia="Times New Roman" w:hAnsi="Times New Roman"/>
          <w:sz w:val="18"/>
          <w:szCs w:val="18"/>
          <w:b w:val="1"/>
          <w:bCs w:val="1"/>
          <w:color w:val="auto"/>
        </w:rPr>
      </w:pPr>
    </w:p>
    <w:p>
      <w:pPr>
        <w:ind w:left="1680" w:hanging="311"/>
        <w:spacing w:after="0"/>
        <w:tabs>
          <w:tab w:leader="none" w:pos="1680"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0" w:lineRule="exact"/>
        <w:rPr>
          <w:rFonts w:ascii="Times New Roman" w:cs="Times New Roman" w:eastAsia="Times New Roman" w:hAnsi="Times New Roman"/>
          <w:sz w:val="18"/>
          <w:szCs w:val="18"/>
          <w:b w:val="1"/>
          <w:bCs w:val="1"/>
          <w:color w:val="auto"/>
        </w:rPr>
      </w:pPr>
    </w:p>
    <w:p>
      <w:pPr>
        <w:ind w:left="80" w:firstLine="1289"/>
        <w:spacing w:after="0" w:line="277" w:lineRule="auto"/>
        <w:tabs>
          <w:tab w:leader="none" w:pos="1677"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63" w:lineRule="exact"/>
        <w:rPr>
          <w:rFonts w:ascii="Times New Roman" w:cs="Times New Roman" w:eastAsia="Times New Roman" w:hAnsi="Times New Roman"/>
          <w:sz w:val="18"/>
          <w:szCs w:val="18"/>
          <w:b w:val="1"/>
          <w:bCs w:val="1"/>
          <w:color w:val="auto"/>
        </w:rPr>
      </w:pPr>
    </w:p>
    <w:p>
      <w:pPr>
        <w:jc w:val="both"/>
        <w:ind w:left="80" w:firstLine="1289"/>
        <w:spacing w:after="0" w:line="257" w:lineRule="auto"/>
        <w:tabs>
          <w:tab w:leader="none" w:pos="1614"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but not limited to, any Corporate Transaction), for reasons of administrative convenience.</w:t>
      </w:r>
    </w:p>
    <w:p>
      <w:pPr>
        <w:spacing w:after="0" w:line="182" w:lineRule="exact"/>
        <w:rPr>
          <w:rFonts w:ascii="Times New Roman" w:cs="Times New Roman" w:eastAsia="Times New Roman" w:hAnsi="Times New Roman"/>
          <w:sz w:val="18"/>
          <w:szCs w:val="18"/>
          <w:b w:val="1"/>
          <w:bCs w:val="1"/>
          <w:color w:val="auto"/>
        </w:rPr>
      </w:pPr>
    </w:p>
    <w:p>
      <w:pPr>
        <w:ind w:left="80" w:firstLine="1289"/>
        <w:spacing w:after="0" w:line="277" w:lineRule="auto"/>
        <w:tabs>
          <w:tab w:leader="none" w:pos="1664"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63" w:lineRule="exact"/>
        <w:rPr>
          <w:rFonts w:ascii="Times New Roman" w:cs="Times New Roman" w:eastAsia="Times New Roman" w:hAnsi="Times New Roman"/>
          <w:sz w:val="18"/>
          <w:szCs w:val="18"/>
          <w:b w:val="1"/>
          <w:bCs w:val="1"/>
          <w:color w:val="auto"/>
        </w:rPr>
      </w:pPr>
    </w:p>
    <w:p>
      <w:pPr>
        <w:jc w:val="both"/>
        <w:ind w:left="80" w:firstLine="1289"/>
        <w:spacing w:after="0" w:line="257" w:lineRule="auto"/>
        <w:tabs>
          <w:tab w:leader="none" w:pos="1727"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7" w:name="page18"/>
    <w:bookmarkEnd w:id="17"/>
    <w:p>
      <w:pPr>
        <w:ind w:left="1112" w:hanging="391"/>
        <w:spacing w:after="0"/>
        <w:tabs>
          <w:tab w:leader="none" w:pos="1112"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20" w:lineRule="exact"/>
        <w:rPr>
          <w:rFonts w:ascii="Times New Roman" w:cs="Times New Roman" w:eastAsia="Times New Roman" w:hAnsi="Times New Roman"/>
          <w:sz w:val="18"/>
          <w:szCs w:val="18"/>
          <w:b w:val="1"/>
          <w:bCs w:val="1"/>
          <w:color w:val="auto"/>
        </w:rPr>
      </w:pPr>
    </w:p>
    <w:p>
      <w:pPr>
        <w:jc w:val="both"/>
        <w:ind w:left="-568" w:firstLine="1289"/>
        <w:spacing w:after="0" w:line="257" w:lineRule="auto"/>
        <w:tabs>
          <w:tab w:leader="none" w:pos="1016"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w:t>
      </w:r>
    </w:p>
    <w:p>
      <w:pPr>
        <w:spacing w:after="0" w:line="182" w:lineRule="exact"/>
        <w:rPr>
          <w:rFonts w:ascii="Times New Roman" w:cs="Times New Roman" w:eastAsia="Times New Roman" w:hAnsi="Times New Roman"/>
          <w:sz w:val="18"/>
          <w:szCs w:val="18"/>
          <w:b w:val="1"/>
          <w:bCs w:val="1"/>
          <w:color w:val="auto"/>
        </w:rPr>
      </w:pPr>
    </w:p>
    <w:p>
      <w:pPr>
        <w:ind w:left="-568" w:firstLine="1289"/>
        <w:spacing w:after="0" w:line="277" w:lineRule="auto"/>
        <w:tabs>
          <w:tab w:leader="none" w:pos="966"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3" w:lineRule="exact"/>
        <w:rPr>
          <w:rFonts w:ascii="Times New Roman" w:cs="Times New Roman" w:eastAsia="Times New Roman" w:hAnsi="Times New Roman"/>
          <w:sz w:val="18"/>
          <w:szCs w:val="18"/>
          <w:b w:val="1"/>
          <w:bCs w:val="1"/>
          <w:color w:val="auto"/>
        </w:rPr>
      </w:pPr>
    </w:p>
    <w:p>
      <w:pPr>
        <w:jc w:val="both"/>
        <w:ind w:left="-568" w:firstLine="1289"/>
        <w:spacing w:after="0" w:line="257" w:lineRule="auto"/>
        <w:tabs>
          <w:tab w:leader="none" w:pos="1016"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Eligible Employees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spacing w:after="0" w:line="178"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0" w:lineRule="exact"/>
        <w:rPr>
          <w:rFonts w:ascii="Times New Roman" w:cs="Times New Roman" w:eastAsia="Times New Roman" w:hAnsi="Times New Roman"/>
          <w:sz w:val="18"/>
          <w:szCs w:val="18"/>
          <w:b w:val="1"/>
          <w:bCs w:val="1"/>
          <w:color w:val="auto"/>
        </w:rPr>
      </w:pPr>
    </w:p>
    <w:p>
      <w:pPr>
        <w:jc w:val="both"/>
        <w:ind w:left="-568" w:firstLine="1289"/>
        <w:spacing w:after="0" w:line="252" w:lineRule="auto"/>
        <w:tabs>
          <w:tab w:leader="none" w:pos="927"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Subject to the terms of Section 3(b), the Board may delegate some or all of the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1" w:lineRule="exact"/>
        <w:rPr>
          <w:rFonts w:ascii="Times New Roman" w:cs="Times New Roman" w:eastAsia="Times New Roman" w:hAnsi="Times New Roman"/>
          <w:sz w:val="18"/>
          <w:szCs w:val="18"/>
          <w:b w:val="1"/>
          <w:bCs w:val="1"/>
          <w:color w:val="auto"/>
        </w:rPr>
      </w:pPr>
    </w:p>
    <w:p>
      <w:pPr>
        <w:jc w:val="both"/>
        <w:ind w:left="-568" w:firstLine="1289"/>
        <w:spacing w:after="0" w:line="259" w:lineRule="auto"/>
        <w:tabs>
          <w:tab w:leader="none" w:pos="976"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a Committee that consists solely of two or more Non-Employee Directors, as determined under Rule 16b-3(b)(3) of the Exchange Act and thereafter any action establishing or modifying the terms of the Award will be approved by a Committee meeting such requirements to the extent necessary for such exemption to remain available.</w:t>
      </w:r>
    </w:p>
    <w:p>
      <w:pPr>
        <w:spacing w:after="0" w:line="175" w:lineRule="exact"/>
        <w:rPr>
          <w:rFonts w:ascii="Times New Roman" w:cs="Times New Roman" w:eastAsia="Times New Roman" w:hAnsi="Times New Roman"/>
          <w:sz w:val="18"/>
          <w:szCs w:val="18"/>
          <w:b w:val="1"/>
          <w:bCs w:val="1"/>
          <w:color w:val="auto"/>
        </w:rPr>
      </w:pPr>
    </w:p>
    <w:p>
      <w:pPr>
        <w:ind w:left="-568" w:firstLine="648"/>
        <w:spacing w:after="0" w:line="282" w:lineRule="auto"/>
        <w:tabs>
          <w:tab w:leader="none" w:pos="342"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jc w:val="both"/>
        <w:ind w:left="-568" w:firstLine="648"/>
        <w:spacing w:after="0" w:line="259" w:lineRule="auto"/>
        <w:tabs>
          <w:tab w:leader="none" w:pos="318"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Re-Grant of Awards</w:t>
      </w:r>
      <w:r>
        <w:rPr>
          <w:rFonts w:ascii="Times New Roman" w:cs="Times New Roman" w:eastAsia="Times New Roman" w:hAnsi="Times New Roman"/>
          <w:sz w:val="18"/>
          <w:szCs w:val="18"/>
          <w:color w:val="auto"/>
        </w:rPr>
        <w:t>. Neither the Board nor any Committee will have the authority to: (i) reduce the exercise price or strike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of any outstanding Option or SAR, or (ii) cancel any outstanding Options or SARs that have an exercise price or strike price greater than the current Fair Market Value in exchange for cash or other Awards, unless the stockholders of the Company have approved such an action within twelve months prior to such an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414020</wp:posOffset>
            </wp:positionV>
            <wp:extent cx="7133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6" w:right="339" w:bottom="1440" w:gutter="0" w:footer="0" w:header="0"/>
        </w:sectPr>
      </w:pPr>
    </w:p>
    <w:bookmarkStart w:id="18" w:name="page19"/>
    <w:bookmarkEnd w:id="18"/>
    <w:p>
      <w:pPr>
        <w:ind w:left="180" w:hanging="173"/>
        <w:spacing w:after="0"/>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p>
    <w:p>
      <w:pPr>
        <w:spacing w:after="0" w:line="220" w:lineRule="exact"/>
        <w:rPr>
          <w:rFonts w:ascii="Times New Roman" w:cs="Times New Roman" w:eastAsia="Times New Roman" w:hAnsi="Times New Roman"/>
          <w:sz w:val="18"/>
          <w:szCs w:val="18"/>
          <w:b w:val="1"/>
          <w:bCs w:val="1"/>
          <w:color w:val="auto"/>
        </w:rPr>
      </w:pPr>
    </w:p>
    <w:p>
      <w:pPr>
        <w:jc w:val="both"/>
        <w:ind w:firstLine="648"/>
        <w:spacing w:after="0" w:line="275" w:lineRule="auto"/>
        <w:tabs>
          <w:tab w:leader="none" w:pos="900" w:val="left"/>
        </w:tabs>
        <w:numPr>
          <w:ilvl w:val="1"/>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Withholding Authorization. </w:t>
      </w:r>
      <w:r>
        <w:rPr>
          <w:rFonts w:ascii="Times New Roman" w:cs="Times New Roman" w:eastAsia="Times New Roman" w:hAnsi="Times New Roman"/>
          <w:sz w:val="17"/>
          <w:szCs w:val="17"/>
          <w:color w:val="auto"/>
        </w:rPr>
        <w:t>As a condition to acceptance of any Award under the Plan, a Participant authorizes withholding from payroll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other amounts payable to such Participant, and otherwise agrees to make adequate provision for, any sums required to satisfy any U.S. and/or non-U.S. federal, state or local tax or social insurance contribution withholding obligations of the Company or an Affiliate, if any, which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62" w:lineRule="exact"/>
        <w:rPr>
          <w:rFonts w:ascii="Times New Roman" w:cs="Times New Roman" w:eastAsia="Times New Roman" w:hAnsi="Times New Roman"/>
          <w:sz w:val="17"/>
          <w:szCs w:val="17"/>
          <w:b w:val="1"/>
          <w:bCs w:val="1"/>
          <w:color w:val="auto"/>
        </w:rPr>
      </w:pPr>
    </w:p>
    <w:p>
      <w:pPr>
        <w:jc w:val="both"/>
        <w:ind w:firstLine="648"/>
        <w:spacing w:after="0" w:line="253" w:lineRule="auto"/>
        <w:tabs>
          <w:tab w:leader="none" w:pos="903"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any U.S. and/or non-U.S. federal, state or local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United States Federal Reserve Board; or (vi) by such other method as may be set forth in the Award Agreement.</w:t>
      </w:r>
    </w:p>
    <w:p>
      <w:pPr>
        <w:spacing w:after="0" w:line="182" w:lineRule="exact"/>
        <w:rPr>
          <w:rFonts w:ascii="Times New Roman" w:cs="Times New Roman" w:eastAsia="Times New Roman" w:hAnsi="Times New Roman"/>
          <w:sz w:val="18"/>
          <w:szCs w:val="18"/>
          <w:b w:val="1"/>
          <w:bCs w:val="1"/>
          <w:color w:val="auto"/>
        </w:rPr>
      </w:pPr>
    </w:p>
    <w:p>
      <w:pPr>
        <w:jc w:val="both"/>
        <w:ind w:firstLine="648"/>
        <w:spacing w:after="0" w:line="268" w:lineRule="auto"/>
        <w:tabs>
          <w:tab w:leader="none" w:pos="901" w:val="left"/>
        </w:tabs>
        <w:numPr>
          <w:ilvl w:val="1"/>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Obligation to Notify or Minimize Taxes; No Liability to Claims. </w:t>
      </w:r>
      <w:r>
        <w:rPr>
          <w:rFonts w:ascii="Times New Roman" w:cs="Times New Roman" w:eastAsia="Times New Roman" w:hAnsi="Times New Roman"/>
          <w:sz w:val="17"/>
          <w:szCs w:val="17"/>
          <w:color w:val="auto"/>
        </w:rPr>
        <w:t>Except as required by Applicable Law, the Company has no duty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w:t>
      </w:r>
    </w:p>
    <w:p>
      <w:pPr>
        <w:jc w:val="both"/>
        <w:spacing w:after="0" w:line="24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United States Internal Revenue Service and there is no other impermissible deferral of compensation associated with the Award. Additionally, as a condition to accepting an Option or SAR granted under the Plan, each Participant agrees not to make any claim against the Company, or any of its Officers, Directors, Employees or Affiliates in the event that the United States Internal Revenue Service asserts that such exercise price or strike price is less than the “fair market value” of the Common Stock on the date of grant as subsequently determined by the United States Internal Revenue Service.</w:t>
      </w:r>
    </w:p>
    <w:p>
      <w:pPr>
        <w:spacing w:after="0" w:line="189" w:lineRule="exact"/>
        <w:rPr>
          <w:rFonts w:ascii="Times New Roman" w:cs="Times New Roman" w:eastAsia="Times New Roman" w:hAnsi="Times New Roman"/>
          <w:sz w:val="17"/>
          <w:szCs w:val="17"/>
          <w:b w:val="1"/>
          <w:bCs w:val="1"/>
          <w:color w:val="auto"/>
        </w:rPr>
      </w:pPr>
    </w:p>
    <w:p>
      <w:pPr>
        <w:jc w:val="both"/>
        <w:ind w:firstLine="648"/>
        <w:spacing w:after="0" w:line="259" w:lineRule="auto"/>
        <w:tabs>
          <w:tab w:leader="none" w:pos="908"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414020</wp:posOffset>
            </wp:positionV>
            <wp:extent cx="7133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9" w:name="page20"/>
    <w:bookmarkEnd w:id="19"/>
    <w:p>
      <w:pPr>
        <w:ind w:left="173" w:hanging="173"/>
        <w:spacing w:after="0"/>
        <w:tabs>
          <w:tab w:leader="none" w:pos="17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ind w:left="-7" w:firstLine="648"/>
        <w:spacing w:after="0" w:line="282" w:lineRule="auto"/>
        <w:tabs>
          <w:tab w:leader="none" w:pos="895"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7" w:firstLine="648"/>
        <w:spacing w:after="0" w:line="282" w:lineRule="auto"/>
        <w:tabs>
          <w:tab w:leader="none" w:pos="90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of the Company.</w:t>
      </w:r>
    </w:p>
    <w:p>
      <w:pPr>
        <w:spacing w:after="0" w:line="154" w:lineRule="exact"/>
        <w:rPr>
          <w:rFonts w:ascii="Times New Roman" w:cs="Times New Roman" w:eastAsia="Times New Roman" w:hAnsi="Times New Roman"/>
          <w:sz w:val="18"/>
          <w:szCs w:val="18"/>
          <w:b w:val="1"/>
          <w:bCs w:val="1"/>
          <w:color w:val="auto"/>
        </w:rPr>
      </w:pPr>
    </w:p>
    <w:p>
      <w:pPr>
        <w:jc w:val="both"/>
        <w:ind w:left="-7" w:firstLine="648"/>
        <w:spacing w:after="0" w:line="253" w:lineRule="auto"/>
        <w:tabs>
          <w:tab w:leader="none" w:pos="877"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jc w:val="both"/>
        <w:ind w:left="-7" w:firstLine="648"/>
        <w:spacing w:after="0" w:line="265" w:lineRule="auto"/>
        <w:tabs>
          <w:tab w:leader="none" w:pos="903"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69" w:lineRule="exact"/>
        <w:rPr>
          <w:rFonts w:ascii="Times New Roman" w:cs="Times New Roman" w:eastAsia="Times New Roman" w:hAnsi="Times New Roman"/>
          <w:sz w:val="18"/>
          <w:szCs w:val="18"/>
          <w:b w:val="1"/>
          <w:bCs w:val="1"/>
          <w:color w:val="auto"/>
        </w:rPr>
      </w:pPr>
    </w:p>
    <w:p>
      <w:pPr>
        <w:jc w:val="both"/>
        <w:ind w:left="-7" w:firstLine="648"/>
        <w:spacing w:after="0" w:line="251" w:lineRule="auto"/>
        <w:tabs>
          <w:tab w:leader="none" w:pos="901"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86" w:lineRule="exact"/>
        <w:rPr>
          <w:rFonts w:ascii="Times New Roman" w:cs="Times New Roman" w:eastAsia="Times New Roman" w:hAnsi="Times New Roman"/>
          <w:sz w:val="18"/>
          <w:szCs w:val="18"/>
          <w:b w:val="1"/>
          <w:bCs w:val="1"/>
          <w:color w:val="auto"/>
        </w:rPr>
      </w:pPr>
    </w:p>
    <w:p>
      <w:pPr>
        <w:jc w:val="both"/>
        <w:ind w:left="-7" w:firstLine="648"/>
        <w:spacing w:after="0" w:line="253" w:lineRule="auto"/>
        <w:tabs>
          <w:tab w:leader="none" w:pos="867"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335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2" w:right="339" w:bottom="1440" w:gutter="0" w:footer="0" w:header="0"/>
        </w:sectPr>
      </w:pPr>
    </w:p>
    <w:bookmarkStart w:id="20" w:name="page21"/>
    <w:bookmarkEnd w:id="20"/>
    <w:p>
      <w:pPr>
        <w:jc w:val="both"/>
        <w:ind w:left="-648" w:firstLine="648"/>
        <w:spacing w:after="0" w:line="265" w:lineRule="auto"/>
        <w:tabs>
          <w:tab w:leader="none" w:pos="25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69" w:lineRule="exact"/>
        <w:rPr>
          <w:rFonts w:ascii="Times New Roman" w:cs="Times New Roman" w:eastAsia="Times New Roman" w:hAnsi="Times New Roman"/>
          <w:sz w:val="18"/>
          <w:szCs w:val="18"/>
          <w:b w:val="1"/>
          <w:bCs w:val="1"/>
          <w:color w:val="auto"/>
        </w:rPr>
      </w:pPr>
    </w:p>
    <w:p>
      <w:pPr>
        <w:jc w:val="both"/>
        <w:ind w:left="-648" w:firstLine="648"/>
        <w:spacing w:after="0" w:line="254" w:lineRule="auto"/>
        <w:tabs>
          <w:tab w:leader="none" w:pos="25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 and Participation</w:t>
      </w:r>
      <w:r>
        <w:rPr>
          <w:rFonts w:ascii="Times New Roman" w:cs="Times New Roman" w:eastAsia="Times New Roman" w:hAnsi="Times New Roman"/>
          <w:sz w:val="18"/>
          <w:szCs w:val="18"/>
          <w:color w:val="auto"/>
        </w:rPr>
        <w:t>. Any reference herein or in an Award Agreement to a “written” agreement or document will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81" w:lineRule="exact"/>
        <w:rPr>
          <w:rFonts w:ascii="Times New Roman" w:cs="Times New Roman" w:eastAsia="Times New Roman" w:hAnsi="Times New Roman"/>
          <w:sz w:val="18"/>
          <w:szCs w:val="18"/>
          <w:b w:val="1"/>
          <w:bCs w:val="1"/>
          <w:color w:val="auto"/>
        </w:rPr>
      </w:pPr>
    </w:p>
    <w:p>
      <w:pPr>
        <w:jc w:val="both"/>
        <w:ind w:left="-648" w:firstLine="648"/>
        <w:spacing w:after="0" w:line="252" w:lineRule="auto"/>
        <w:tabs>
          <w:tab w:leader="none" w:pos="23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jc w:val="both"/>
        <w:ind w:left="-648" w:firstLine="648"/>
        <w:spacing w:after="0" w:line="259" w:lineRule="auto"/>
        <w:tabs>
          <w:tab w:leader="none" w:pos="22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75" w:lineRule="exact"/>
        <w:rPr>
          <w:rFonts w:ascii="Times New Roman" w:cs="Times New Roman" w:eastAsia="Times New Roman" w:hAnsi="Times New Roman"/>
          <w:sz w:val="18"/>
          <w:szCs w:val="18"/>
          <w:b w:val="1"/>
          <w:bCs w:val="1"/>
          <w:color w:val="auto"/>
        </w:rPr>
      </w:pPr>
    </w:p>
    <w:p>
      <w:pPr>
        <w:jc w:val="both"/>
        <w:ind w:left="-648" w:firstLine="648"/>
        <w:spacing w:after="0" w:line="256" w:lineRule="auto"/>
        <w:tabs>
          <w:tab w:leader="none" w:pos="28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78" w:lineRule="exact"/>
        <w:rPr>
          <w:rFonts w:ascii="Times New Roman" w:cs="Times New Roman" w:eastAsia="Times New Roman" w:hAnsi="Times New Roman"/>
          <w:sz w:val="18"/>
          <w:szCs w:val="18"/>
          <w:b w:val="1"/>
          <w:bCs w:val="1"/>
          <w:color w:val="auto"/>
        </w:rPr>
      </w:pPr>
    </w:p>
    <w:p>
      <w:pPr>
        <w:jc w:val="both"/>
        <w:ind w:left="-648" w:firstLine="648"/>
        <w:spacing w:after="0" w:line="259" w:lineRule="auto"/>
        <w:tabs>
          <w:tab w:leader="none" w:pos="20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5" w:lineRule="exact"/>
        <w:rPr>
          <w:rFonts w:ascii="Times New Roman" w:cs="Times New Roman" w:eastAsia="Times New Roman" w:hAnsi="Times New Roman"/>
          <w:sz w:val="18"/>
          <w:szCs w:val="18"/>
          <w:b w:val="1"/>
          <w:bCs w:val="1"/>
          <w:color w:val="auto"/>
        </w:rPr>
      </w:pPr>
    </w:p>
    <w:p>
      <w:pPr>
        <w:jc w:val="both"/>
        <w:ind w:left="-648" w:firstLine="648"/>
        <w:spacing w:after="0" w:line="265" w:lineRule="auto"/>
        <w:tabs>
          <w:tab w:leader="none" w:pos="30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410210</wp:posOffset>
            </wp:positionV>
            <wp:extent cx="71335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2" w:right="339" w:bottom="1440" w:gutter="0" w:footer="0" w:header="0"/>
        </w:sectPr>
      </w:pPr>
    </w:p>
    <w:bookmarkStart w:id="21" w:name="page22"/>
    <w:bookmarkEnd w:id="21"/>
    <w:p>
      <w:pPr>
        <w:jc w:val="both"/>
        <w:ind w:left="-7" w:firstLine="648"/>
        <w:spacing w:after="0" w:line="250" w:lineRule="auto"/>
        <w:tabs>
          <w:tab w:leader="none" w:pos="914"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91" w:lineRule="exact"/>
        <w:rPr>
          <w:rFonts w:ascii="Times New Roman" w:cs="Times New Roman" w:eastAsia="Times New Roman" w:hAnsi="Times New Roman"/>
          <w:sz w:val="18"/>
          <w:szCs w:val="18"/>
          <w:b w:val="1"/>
          <w:bCs w:val="1"/>
          <w:color w:val="auto"/>
        </w:rPr>
      </w:pPr>
    </w:p>
    <w:p>
      <w:pPr>
        <w:jc w:val="both"/>
        <w:ind w:left="-7" w:firstLine="648"/>
        <w:spacing w:after="0" w:line="265" w:lineRule="auto"/>
        <w:tabs>
          <w:tab w:leader="none" w:pos="887"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laws of the State of Delaware, without regard to conflict of law principles that would result in any application of any law other than the law of the State of Delaware.</w:t>
      </w:r>
    </w:p>
    <w:p>
      <w:pPr>
        <w:spacing w:after="0" w:line="169" w:lineRule="exact"/>
        <w:rPr>
          <w:rFonts w:ascii="Times New Roman" w:cs="Times New Roman" w:eastAsia="Times New Roman" w:hAnsi="Times New Roman"/>
          <w:sz w:val="18"/>
          <w:szCs w:val="18"/>
          <w:b w:val="1"/>
          <w:bCs w:val="1"/>
          <w:color w:val="auto"/>
        </w:rPr>
      </w:pPr>
    </w:p>
    <w:p>
      <w:pPr>
        <w:ind w:left="273" w:hanging="273"/>
        <w:spacing w:after="0"/>
        <w:tabs>
          <w:tab w:leader="none" w:pos="273"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20" w:lineRule="exact"/>
        <w:rPr>
          <w:rFonts w:ascii="Times New Roman" w:cs="Times New Roman" w:eastAsia="Times New Roman" w:hAnsi="Times New Roman"/>
          <w:sz w:val="18"/>
          <w:szCs w:val="18"/>
          <w:b w:val="1"/>
          <w:bCs w:val="1"/>
          <w:color w:val="auto"/>
        </w:rPr>
      </w:pPr>
    </w:p>
    <w:p>
      <w:pPr>
        <w:jc w:val="both"/>
        <w:ind w:left="-7" w:firstLine="648"/>
        <w:spacing w:after="0" w:line="252" w:lineRule="auto"/>
        <w:tabs>
          <w:tab w:leader="none" w:pos="90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may be deemed necessary,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4" w:lineRule="exact"/>
        <w:rPr>
          <w:rFonts w:ascii="Times New Roman" w:cs="Times New Roman" w:eastAsia="Times New Roman" w:hAnsi="Times New Roman"/>
          <w:sz w:val="18"/>
          <w:szCs w:val="18"/>
          <w:b w:val="1"/>
          <w:bCs w:val="1"/>
          <w:color w:val="auto"/>
        </w:rPr>
      </w:pPr>
    </w:p>
    <w:p>
      <w:pPr>
        <w:ind w:left="253" w:hanging="253"/>
        <w:spacing w:after="0"/>
        <w:tabs>
          <w:tab w:leader="none" w:pos="253"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220" w:lineRule="exact"/>
        <w:rPr>
          <w:rFonts w:ascii="Times New Roman" w:cs="Times New Roman" w:eastAsia="Times New Roman" w:hAnsi="Times New Roman"/>
          <w:sz w:val="18"/>
          <w:szCs w:val="18"/>
          <w:b w:val="1"/>
          <w:bCs w:val="1"/>
          <w:color w:val="auto"/>
        </w:rPr>
      </w:pPr>
    </w:p>
    <w:p>
      <w:pPr>
        <w:ind w:left="-7" w:firstLine="648"/>
        <w:spacing w:after="0" w:line="282" w:lineRule="auto"/>
        <w:tabs>
          <w:tab w:leader="none" w:pos="893"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shall apply and shall supersede anything to the contrary set forth in the Award Agreement for a Non-Exempt Award.</w:t>
      </w:r>
    </w:p>
    <w:p>
      <w:pPr>
        <w:spacing w:after="0" w:line="154" w:lineRule="exact"/>
        <w:rPr>
          <w:rFonts w:ascii="Times New Roman" w:cs="Times New Roman" w:eastAsia="Times New Roman" w:hAnsi="Times New Roman"/>
          <w:sz w:val="18"/>
          <w:szCs w:val="18"/>
          <w:b w:val="1"/>
          <w:bCs w:val="1"/>
          <w:color w:val="auto"/>
        </w:rPr>
      </w:pPr>
    </w:p>
    <w:p>
      <w:pPr>
        <w:ind w:left="-7" w:firstLine="648"/>
        <w:spacing w:after="0" w:line="282" w:lineRule="auto"/>
        <w:tabs>
          <w:tab w:leader="none" w:pos="902"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application of a Non-Exempt Severance Arrangement, the following provisions of this subsection (b)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400685</wp:posOffset>
            </wp:positionV>
            <wp:extent cx="7133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33"/>
          </w:cols>
          <w:pgMar w:left="327" w:top="892" w:right="339" w:bottom="1440" w:gutter="0" w:footer="0" w:header="0"/>
        </w:sectPr>
      </w:pPr>
    </w:p>
    <w:bookmarkStart w:id="22" w:name="page23"/>
    <w:bookmarkEnd w:id="22"/>
    <w:p>
      <w:pPr>
        <w:jc w:val="both"/>
        <w:ind w:left="-568" w:firstLine="1289"/>
        <w:spacing w:after="0" w:line="257" w:lineRule="auto"/>
        <w:tabs>
          <w:tab w:leader="none" w:pos="940"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w:t>
      </w:r>
    </w:p>
    <w:p>
      <w:pPr>
        <w:spacing w:after="0" w:line="182" w:lineRule="exact"/>
        <w:rPr>
          <w:rFonts w:ascii="Times New Roman" w:cs="Times New Roman" w:eastAsia="Times New Roman" w:hAnsi="Times New Roman"/>
          <w:sz w:val="18"/>
          <w:szCs w:val="18"/>
          <w:b w:val="1"/>
          <w:bCs w:val="1"/>
          <w:color w:val="auto"/>
        </w:rPr>
      </w:pPr>
    </w:p>
    <w:p>
      <w:pPr>
        <w:jc w:val="both"/>
        <w:ind w:left="-568" w:firstLine="1289"/>
        <w:spacing w:after="0" w:line="252" w:lineRule="auto"/>
        <w:tabs>
          <w:tab w:leader="none" w:pos="990"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184" w:lineRule="exact"/>
        <w:rPr>
          <w:rFonts w:ascii="Times New Roman" w:cs="Times New Roman" w:eastAsia="Times New Roman" w:hAnsi="Times New Roman"/>
          <w:sz w:val="18"/>
          <w:szCs w:val="18"/>
          <w:b w:val="1"/>
          <w:bCs w:val="1"/>
          <w:color w:val="auto"/>
        </w:rPr>
      </w:pPr>
    </w:p>
    <w:p>
      <w:pPr>
        <w:jc w:val="both"/>
        <w:ind w:left="-568" w:firstLine="1289"/>
        <w:spacing w:after="0" w:line="252" w:lineRule="auto"/>
        <w:tabs>
          <w:tab w:leader="none" w:pos="1053"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United States Treasury Regulations Section 1.409A-3(a)(4).</w:t>
      </w:r>
    </w:p>
    <w:p>
      <w:pPr>
        <w:spacing w:after="0" w:line="184" w:lineRule="exact"/>
        <w:rPr>
          <w:rFonts w:ascii="Times New Roman" w:cs="Times New Roman" w:eastAsia="Times New Roman" w:hAnsi="Times New Roman"/>
          <w:sz w:val="18"/>
          <w:szCs w:val="18"/>
          <w:b w:val="1"/>
          <w:bCs w:val="1"/>
          <w:color w:val="auto"/>
        </w:rPr>
      </w:pPr>
    </w:p>
    <w:p>
      <w:pPr>
        <w:jc w:val="both"/>
        <w:ind w:left="-568" w:firstLine="568"/>
        <w:spacing w:after="0" w:line="265" w:lineRule="auto"/>
        <w:tabs>
          <w:tab w:leader="none" w:pos="23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w:t>
      </w:r>
      <w:r>
        <w:rPr>
          <w:rFonts w:ascii="Times New Roman" w:cs="Times New Roman" w:eastAsia="Times New Roman" w:hAnsi="Times New Roman"/>
          <w:sz w:val="18"/>
          <w:szCs w:val="18"/>
          <w:color w:val="auto"/>
        </w:rPr>
        <w:t>The provisions of this subsection (c) shall apply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anything to the contrary set forth in the Plan with respect to the permitted treatment of any Non-Exempt Award in connection with a Corporate Transaction.</w:t>
      </w:r>
    </w:p>
    <w:p>
      <w:pPr>
        <w:spacing w:after="0" w:line="169" w:lineRule="exact"/>
        <w:rPr>
          <w:rFonts w:ascii="Times New Roman" w:cs="Times New Roman" w:eastAsia="Times New Roman" w:hAnsi="Times New Roman"/>
          <w:sz w:val="18"/>
          <w:szCs w:val="18"/>
          <w:b w:val="1"/>
          <w:bCs w:val="1"/>
          <w:color w:val="auto"/>
        </w:rPr>
      </w:pPr>
    </w:p>
    <w:p>
      <w:pPr>
        <w:ind w:left="-8" w:right="20" w:firstLine="569"/>
        <w:spacing w:after="0" w:line="282" w:lineRule="auto"/>
        <w:tabs>
          <w:tab w:leader="none" w:pos="779"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w:t>
      </w:r>
    </w:p>
    <w:p>
      <w:pPr>
        <w:spacing w:after="0" w:line="158" w:lineRule="exact"/>
        <w:rPr>
          <w:rFonts w:ascii="Times New Roman" w:cs="Times New Roman" w:eastAsia="Times New Roman" w:hAnsi="Times New Roman"/>
          <w:sz w:val="18"/>
          <w:szCs w:val="18"/>
          <w:b w:val="1"/>
          <w:bCs w:val="1"/>
          <w:color w:val="auto"/>
        </w:rPr>
      </w:pPr>
    </w:p>
    <w:p>
      <w:pPr>
        <w:jc w:val="both"/>
        <w:ind w:left="-648" w:firstLine="1930"/>
        <w:spacing w:after="0" w:line="255" w:lineRule="auto"/>
        <w:tabs>
          <w:tab w:leader="none" w:pos="1528" w:val="left"/>
        </w:tabs>
        <w:numPr>
          <w:ilvl w:val="3"/>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2" w:lineRule="exact"/>
        <w:rPr>
          <w:rFonts w:ascii="Times New Roman" w:cs="Times New Roman" w:eastAsia="Times New Roman" w:hAnsi="Times New Roman"/>
          <w:sz w:val="18"/>
          <w:szCs w:val="18"/>
          <w:b w:val="1"/>
          <w:bCs w:val="1"/>
          <w:color w:val="auto"/>
        </w:rPr>
      </w:pPr>
    </w:p>
    <w:p>
      <w:pPr>
        <w:jc w:val="both"/>
        <w:ind w:left="-648" w:firstLine="1930"/>
        <w:spacing w:after="0" w:line="253" w:lineRule="auto"/>
        <w:tabs>
          <w:tab w:leader="none" w:pos="1541" w:val="left"/>
        </w:tabs>
        <w:numPr>
          <w:ilvl w:val="3"/>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418465</wp:posOffset>
            </wp:positionV>
            <wp:extent cx="7133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6" w:right="339" w:bottom="1440" w:gutter="0" w:footer="0" w:header="0"/>
        </w:sectPr>
      </w:pPr>
    </w:p>
    <w:bookmarkStart w:id="23" w:name="page24"/>
    <w:bookmarkEnd w:id="23"/>
    <w:p>
      <w:pPr>
        <w:ind w:left="-568" w:firstLine="1289"/>
        <w:spacing w:after="0" w:line="282" w:lineRule="auto"/>
        <w:tabs>
          <w:tab w:leader="none" w:pos="1016"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w:t>
      </w:r>
    </w:p>
    <w:p>
      <w:pPr>
        <w:spacing w:after="0" w:line="158" w:lineRule="exact"/>
        <w:rPr>
          <w:rFonts w:ascii="Times New Roman" w:cs="Times New Roman" w:eastAsia="Times New Roman" w:hAnsi="Times New Roman"/>
          <w:sz w:val="18"/>
          <w:szCs w:val="18"/>
          <w:b w:val="1"/>
          <w:bCs w:val="1"/>
          <w:color w:val="auto"/>
        </w:rPr>
      </w:pPr>
    </w:p>
    <w:p>
      <w:pPr>
        <w:jc w:val="both"/>
        <w:ind w:left="-648" w:firstLine="1930"/>
        <w:spacing w:after="0" w:line="252" w:lineRule="auto"/>
        <w:tabs>
          <w:tab w:leader="none" w:pos="1528"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88" w:lineRule="exact"/>
        <w:rPr>
          <w:rFonts w:ascii="Times New Roman" w:cs="Times New Roman" w:eastAsia="Times New Roman" w:hAnsi="Times New Roman"/>
          <w:sz w:val="18"/>
          <w:szCs w:val="18"/>
          <w:b w:val="1"/>
          <w:bCs w:val="1"/>
          <w:color w:val="auto"/>
        </w:rPr>
      </w:pPr>
    </w:p>
    <w:p>
      <w:pPr>
        <w:jc w:val="both"/>
        <w:ind w:left="-648" w:firstLine="1930"/>
        <w:spacing w:after="0" w:line="252" w:lineRule="auto"/>
        <w:tabs>
          <w:tab w:leader="none" w:pos="1554"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84" w:lineRule="exact"/>
        <w:rPr>
          <w:rFonts w:ascii="Times New Roman" w:cs="Times New Roman" w:eastAsia="Times New Roman" w:hAnsi="Times New Roman"/>
          <w:sz w:val="18"/>
          <w:szCs w:val="18"/>
          <w:b w:val="1"/>
          <w:bCs w:val="1"/>
          <w:color w:val="auto"/>
        </w:rPr>
      </w:pPr>
    </w:p>
    <w:p>
      <w:pPr>
        <w:ind w:left="-648" w:firstLine="648"/>
        <w:spacing w:after="0" w:line="277" w:lineRule="auto"/>
        <w:tabs>
          <w:tab w:leader="none" w:pos="27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63" w:lineRule="exact"/>
        <w:rPr>
          <w:sz w:val="20"/>
          <w:szCs w:val="20"/>
          <w:color w:val="auto"/>
        </w:rPr>
      </w:pPr>
    </w:p>
    <w:p>
      <w:pPr>
        <w:ind w:left="-648" w:firstLine="648"/>
        <w:spacing w:after="0" w:line="277" w:lineRule="auto"/>
        <w:tabs>
          <w:tab w:leader="none" w:pos="25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11(d) shall apply and supersede anything to the contrary that may be set forth in the Plan or the Award Agreement with respect to the permitted treatment of such Non-Exempt Award:</w:t>
      </w:r>
    </w:p>
    <w:p>
      <w:pPr>
        <w:spacing w:after="0" w:line="163" w:lineRule="exact"/>
        <w:rPr>
          <w:rFonts w:ascii="Times New Roman" w:cs="Times New Roman" w:eastAsia="Times New Roman" w:hAnsi="Times New Roman"/>
          <w:sz w:val="18"/>
          <w:szCs w:val="18"/>
          <w:b w:val="1"/>
          <w:bCs w:val="1"/>
          <w:color w:val="auto"/>
        </w:rPr>
      </w:pPr>
    </w:p>
    <w:p>
      <w:pPr>
        <w:jc w:val="both"/>
        <w:ind w:left="-568" w:firstLine="1289"/>
        <w:spacing w:after="0" w:line="262" w:lineRule="auto"/>
        <w:tabs>
          <w:tab w:leader="none" w:pos="94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77" w:lineRule="exact"/>
        <w:rPr>
          <w:rFonts w:ascii="Times New Roman" w:cs="Times New Roman" w:eastAsia="Times New Roman" w:hAnsi="Times New Roman"/>
          <w:sz w:val="18"/>
          <w:szCs w:val="18"/>
          <w:b w:val="1"/>
          <w:bCs w:val="1"/>
          <w:color w:val="auto"/>
        </w:rPr>
      </w:pPr>
    </w:p>
    <w:p>
      <w:pPr>
        <w:ind w:left="-568" w:firstLine="1289"/>
        <w:spacing w:after="0" w:line="308" w:lineRule="auto"/>
        <w:tabs>
          <w:tab w:leader="none" w:pos="976" w:val="left"/>
        </w:tabs>
        <w:numPr>
          <w:ilvl w:val="1"/>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explicitly reserves the right to earlier settle any Non-Exempt Award to the extent permitted and in compliance with the requirements of Section 409A, including pursuant to any of the exemptions available in United States Treasury Regulations Section 1.409A-3(j)(4)(ix).</w:t>
      </w:r>
    </w:p>
    <w:p>
      <w:pPr>
        <w:spacing w:after="0" w:line="139" w:lineRule="exact"/>
        <w:rPr>
          <w:rFonts w:ascii="Times New Roman" w:cs="Times New Roman" w:eastAsia="Times New Roman" w:hAnsi="Times New Roman"/>
          <w:sz w:val="17"/>
          <w:szCs w:val="17"/>
          <w:b w:val="1"/>
          <w:bCs w:val="1"/>
          <w:color w:val="auto"/>
        </w:rPr>
      </w:pPr>
    </w:p>
    <w:p>
      <w:pPr>
        <w:jc w:val="both"/>
        <w:ind w:left="-568" w:firstLine="1289"/>
        <w:spacing w:after="0" w:line="268" w:lineRule="auto"/>
        <w:tabs>
          <w:tab w:leader="none" w:pos="1026" w:val="left"/>
        </w:tabs>
        <w:numPr>
          <w:ilvl w:val="1"/>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412750</wp:posOffset>
            </wp:positionV>
            <wp:extent cx="7133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2" w:right="339" w:bottom="1440" w:gutter="0" w:footer="0" w:header="0"/>
        </w:sectPr>
      </w:pPr>
    </w:p>
    <w:bookmarkStart w:id="24" w:name="page25"/>
    <w:bookmarkEnd w:id="24"/>
    <w:p>
      <w:pPr>
        <w:jc w:val="both"/>
        <w:ind w:left="80" w:firstLine="1289"/>
        <w:spacing w:after="0" w:line="262" w:lineRule="auto"/>
        <w:tabs>
          <w:tab w:leader="none" w:pos="166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(d)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73" w:lineRule="exact"/>
        <w:rPr>
          <w:rFonts w:ascii="Times New Roman" w:cs="Times New Roman" w:eastAsia="Times New Roman" w:hAnsi="Times New Roman"/>
          <w:sz w:val="18"/>
          <w:szCs w:val="18"/>
          <w:b w:val="1"/>
          <w:bCs w:val="1"/>
          <w:color w:val="auto"/>
        </w:rPr>
      </w:pPr>
    </w:p>
    <w:p>
      <w:pPr>
        <w:ind w:left="280" w:hanging="273"/>
        <w:spacing w:after="0"/>
        <w:tabs>
          <w:tab w:leader="none" w:pos="2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78" w:lineRule="exact"/>
        <w:rPr>
          <w:sz w:val="20"/>
          <w:szCs w:val="20"/>
          <w:color w:val="auto"/>
        </w:rPr>
      </w:pPr>
    </w:p>
    <w:p>
      <w:pPr>
        <w:ind w:left="280" w:hanging="273"/>
        <w:spacing w:after="0"/>
        <w:tabs>
          <w:tab w:leader="none" w:pos="2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The Board may suspend or terminate the Plan at any time. No Awards may be granted under the Plan while the Plan is suspended or after it is terminated.</w:t>
      </w:r>
    </w:p>
    <w:p>
      <w:pPr>
        <w:spacing w:after="0" w:line="159" w:lineRule="exact"/>
        <w:rPr>
          <w:sz w:val="20"/>
          <w:szCs w:val="20"/>
          <w:color w:val="auto"/>
        </w:rPr>
      </w:pPr>
    </w:p>
    <w:p>
      <w:pPr>
        <w:ind w:left="280" w:hanging="273"/>
        <w:spacing w:after="0"/>
        <w:tabs>
          <w:tab w:leader="none" w:pos="2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rotected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Nothing contained in this Plan or an Award Agreement is intended to limit the Participant’s ability to (i)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(“Government Agencies”), (ii) communicate with any Government Agencies or otherwise participate in any investigation or proceeding that may be conducted by any Government Agency, including providing documents or other information, without notice to the Company or (iii) under applicable United States federal law to (A) disclose in confidence trade secrets to federal, state, and local government officials, or to an attorney, for the sole purpose of reporting or investigating a suspected violation of law or (B) disclose trade secrets in a document filed in a lawsuit or other proceeding, but only if the filing is made under seal and protected from public disclosure.</w:t>
      </w:r>
    </w:p>
    <w:p>
      <w:pPr>
        <w:spacing w:after="0" w:line="181" w:lineRule="exact"/>
        <w:rPr>
          <w:sz w:val="20"/>
          <w:szCs w:val="20"/>
          <w:color w:val="auto"/>
        </w:rPr>
      </w:pPr>
    </w:p>
    <w:p>
      <w:pPr>
        <w:ind w:left="280" w:hanging="273"/>
        <w:spacing w:after="0"/>
        <w:tabs>
          <w:tab w:leader="none" w:pos="2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335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5" w:name="page26"/>
    <w:bookmarkEnd w:id="25"/>
    <w:p>
      <w:pPr>
        <w:ind w:left="-648" w:firstLine="648"/>
        <w:spacing w:after="0" w:line="312" w:lineRule="auto"/>
        <w:tabs>
          <w:tab w:leader="none" w:pos="255"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32" w:lineRule="exact"/>
        <w:rPr>
          <w:rFonts w:ascii="Times New Roman" w:cs="Times New Roman" w:eastAsia="Times New Roman" w:hAnsi="Times New Roman"/>
          <w:sz w:val="17"/>
          <w:szCs w:val="17"/>
          <w:b w:val="1"/>
          <w:bCs w:val="1"/>
          <w:color w:val="auto"/>
        </w:rPr>
      </w:pPr>
    </w:p>
    <w:p>
      <w:pPr>
        <w:jc w:val="both"/>
        <w:ind w:left="-648" w:firstLine="648"/>
        <w:spacing w:after="0" w:line="279" w:lineRule="auto"/>
        <w:tabs>
          <w:tab w:leader="none" w:pos="235"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Law</w:t>
      </w:r>
      <w:r>
        <w:rPr>
          <w:rFonts w:ascii="Times New Roman" w:cs="Times New Roman" w:eastAsia="Times New Roman" w:hAnsi="Times New Roman"/>
          <w:sz w:val="17"/>
          <w:szCs w:val="17"/>
          <w:color w:val="auto"/>
        </w:rPr>
        <w:t>” means the Code and any applicable U.S. or non-U.S. securities,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59" w:lineRule="exact"/>
        <w:rPr>
          <w:rFonts w:ascii="Times New Roman" w:cs="Times New Roman" w:eastAsia="Times New Roman" w:hAnsi="Times New Roman"/>
          <w:sz w:val="17"/>
          <w:szCs w:val="17"/>
          <w:b w:val="1"/>
          <w:bCs w:val="1"/>
          <w:color w:val="auto"/>
        </w:rPr>
      </w:pPr>
    </w:p>
    <w:p>
      <w:pPr>
        <w:ind w:left="-648" w:firstLine="648"/>
        <w:spacing w:after="0" w:line="282" w:lineRule="auto"/>
        <w:tabs>
          <w:tab w:leader="none" w:pos="25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 Nonstatutory Stock Option, a Restricted Stock Award, an RSU Award, a SAR, a Performance Award or any Other Award).</w:t>
      </w:r>
    </w:p>
    <w:p>
      <w:pPr>
        <w:spacing w:after="0" w:line="154" w:lineRule="exact"/>
        <w:rPr>
          <w:rFonts w:ascii="Times New Roman" w:cs="Times New Roman" w:eastAsia="Times New Roman" w:hAnsi="Times New Roman"/>
          <w:sz w:val="18"/>
          <w:szCs w:val="18"/>
          <w:b w:val="1"/>
          <w:bCs w:val="1"/>
          <w:color w:val="auto"/>
        </w:rPr>
      </w:pPr>
    </w:p>
    <w:p>
      <w:pPr>
        <w:jc w:val="both"/>
        <w:ind w:left="-648" w:firstLine="648"/>
        <w:spacing w:after="0" w:line="265" w:lineRule="auto"/>
        <w:tabs>
          <w:tab w:leader="none" w:pos="23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69" w:lineRule="exact"/>
        <w:rPr>
          <w:rFonts w:ascii="Times New Roman" w:cs="Times New Roman" w:eastAsia="Times New Roman" w:hAnsi="Times New Roman"/>
          <w:sz w:val="18"/>
          <w:szCs w:val="18"/>
          <w:b w:val="1"/>
          <w:bCs w:val="1"/>
          <w:color w:val="auto"/>
        </w:rPr>
      </w:pPr>
    </w:p>
    <w:p>
      <w:pPr>
        <w:jc w:val="both"/>
        <w:ind w:left="-648" w:firstLine="648"/>
        <w:spacing w:after="0" w:line="265" w:lineRule="auto"/>
        <w:tabs>
          <w:tab w:leader="none" w:pos="21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69" w:lineRule="exact"/>
        <w:rPr>
          <w:rFonts w:ascii="Times New Roman" w:cs="Times New Roman" w:eastAsia="Times New Roman" w:hAnsi="Times New Roman"/>
          <w:sz w:val="18"/>
          <w:szCs w:val="18"/>
          <w:b w:val="1"/>
          <w:bCs w:val="1"/>
          <w:color w:val="auto"/>
        </w:rPr>
      </w:pPr>
    </w:p>
    <w:p>
      <w:pPr>
        <w:jc w:val="both"/>
        <w:ind w:left="-648" w:firstLine="648"/>
        <w:spacing w:after="0" w:line="254" w:lineRule="auto"/>
        <w:tabs>
          <w:tab w:leader="none" w:pos="24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1" w:lineRule="exact"/>
        <w:rPr>
          <w:rFonts w:ascii="Times New Roman" w:cs="Times New Roman" w:eastAsia="Times New Roman" w:hAnsi="Times New Roman"/>
          <w:sz w:val="18"/>
          <w:szCs w:val="18"/>
          <w:b w:val="1"/>
          <w:bCs w:val="1"/>
          <w:color w:val="auto"/>
        </w:rPr>
      </w:pPr>
    </w:p>
    <w:p>
      <w:pPr>
        <w:jc w:val="both"/>
        <w:ind w:left="-648" w:firstLine="648"/>
        <w:spacing w:after="0" w:line="251" w:lineRule="auto"/>
        <w:tabs>
          <w:tab w:leader="none" w:pos="25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or an Affiliate defining such term and, in the absence of such agreement, such term means, with respect to a Participant, the occurrence of any of the following events: (i) such Participant’s actual or attempted commission of, or participation in, a fraud or act of dishonesty against the Company or an Affiliate; (ii) such Participant’s intentional, material violation of any contract or agreement between the Participant and the Company or an Affiliate or of any statutory duty owed to the Company or an Affiliate; (iii) such Participant’s unauthorized use or disclosure of the Company’s or any of its Affiliate’s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an Affiliate or such Participant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421005</wp:posOffset>
            </wp:positionV>
            <wp:extent cx="7133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2" w:right="339" w:bottom="1440" w:gutter="0" w:footer="0" w:header="0"/>
        </w:sectPr>
      </w:pPr>
    </w:p>
    <w:bookmarkStart w:id="26" w:name="page27"/>
    <w:bookmarkEnd w:id="26"/>
    <w:p>
      <w:pPr>
        <w:jc w:val="both"/>
        <w:ind w:left="-87" w:firstLine="648"/>
        <w:spacing w:after="0" w:line="265" w:lineRule="auto"/>
        <w:tabs>
          <w:tab w:leader="none" w:pos="767"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such event or events, as the case may be, also constitute a Section 409A Change in Control:</w:t>
      </w:r>
    </w:p>
    <w:p>
      <w:pPr>
        <w:spacing w:after="0" w:line="173" w:lineRule="exact"/>
        <w:rPr>
          <w:rFonts w:ascii="Times New Roman" w:cs="Times New Roman" w:eastAsia="Times New Roman" w:hAnsi="Times New Roman"/>
          <w:sz w:val="18"/>
          <w:szCs w:val="18"/>
          <w:b w:val="1"/>
          <w:bCs w:val="1"/>
          <w:color w:val="auto"/>
        </w:rPr>
      </w:pPr>
    </w:p>
    <w:p>
      <w:pPr>
        <w:jc w:val="both"/>
        <w:ind w:left="-7" w:firstLine="1289"/>
        <w:spacing w:after="0" w:line="270" w:lineRule="auto"/>
        <w:tabs>
          <w:tab w:leader="none" w:pos="1488" w:val="left"/>
        </w:tabs>
        <w:numPr>
          <w:ilvl w:val="2"/>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w:t>
      </w:r>
    </w:p>
    <w:p>
      <w:pPr>
        <w:jc w:val="both"/>
        <w:ind w:left="-7" w:firstLine="7"/>
        <w:spacing w:after="0" w:line="248" w:lineRule="auto"/>
        <w:tabs>
          <w:tab w:leader="none" w:pos="2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93" w:lineRule="exact"/>
        <w:rPr>
          <w:rFonts w:ascii="Times New Roman" w:cs="Times New Roman" w:eastAsia="Times New Roman" w:hAnsi="Times New Roman"/>
          <w:sz w:val="18"/>
          <w:szCs w:val="18"/>
          <w:color w:val="auto"/>
        </w:rPr>
      </w:pPr>
    </w:p>
    <w:p>
      <w:pPr>
        <w:jc w:val="both"/>
        <w:ind w:left="-7" w:firstLine="1289"/>
        <w:spacing w:after="0" w:line="253" w:lineRule="auto"/>
        <w:tabs>
          <w:tab w:leader="none" w:pos="1537"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6" w:lineRule="exact"/>
        <w:rPr>
          <w:rFonts w:ascii="Times New Roman" w:cs="Times New Roman" w:eastAsia="Times New Roman" w:hAnsi="Times New Roman"/>
          <w:sz w:val="18"/>
          <w:szCs w:val="18"/>
          <w:b w:val="1"/>
          <w:bCs w:val="1"/>
          <w:color w:val="auto"/>
        </w:rPr>
      </w:pPr>
    </w:p>
    <w:p>
      <w:pPr>
        <w:jc w:val="both"/>
        <w:ind w:left="-7" w:firstLine="1289"/>
        <w:spacing w:after="0" w:line="255" w:lineRule="auto"/>
        <w:tabs>
          <w:tab w:leader="none" w:pos="1600"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8" w:lineRule="exact"/>
        <w:rPr>
          <w:rFonts w:ascii="Times New Roman" w:cs="Times New Roman" w:eastAsia="Times New Roman" w:hAnsi="Times New Roman"/>
          <w:sz w:val="18"/>
          <w:szCs w:val="18"/>
          <w:b w:val="1"/>
          <w:bCs w:val="1"/>
          <w:color w:val="auto"/>
        </w:rPr>
      </w:pPr>
    </w:p>
    <w:p>
      <w:pPr>
        <w:jc w:val="both"/>
        <w:ind w:left="-7" w:firstLine="1289"/>
        <w:spacing w:after="0" w:line="252" w:lineRule="auto"/>
        <w:tabs>
          <w:tab w:leader="none" w:pos="1590" w:val="left"/>
        </w:tabs>
        <w:numPr>
          <w:ilvl w:val="2"/>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419735</wp:posOffset>
            </wp:positionV>
            <wp:extent cx="71335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53"/>
          </w:cols>
          <w:pgMar w:left="407" w:top="892" w:right="339" w:bottom="1440" w:gutter="0" w:footer="0" w:header="0"/>
        </w:sectPr>
      </w:pPr>
    </w:p>
    <w:bookmarkStart w:id="27" w:name="page28"/>
    <w:bookmarkEnd w:id="27"/>
    <w:p>
      <w:pPr>
        <w:ind w:left="800" w:hanging="232"/>
        <w:spacing w:after="0"/>
        <w:tabs>
          <w:tab w:leader="none" w:pos="8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0" w:lineRule="exact"/>
        <w:rPr>
          <w:rFonts w:ascii="Times New Roman" w:cs="Times New Roman" w:eastAsia="Times New Roman" w:hAnsi="Times New Roman"/>
          <w:sz w:val="18"/>
          <w:szCs w:val="18"/>
          <w:b w:val="1"/>
          <w:bCs w:val="1"/>
          <w:color w:val="auto"/>
        </w:rPr>
      </w:pPr>
    </w:p>
    <w:p>
      <w:pPr>
        <w:ind w:left="-80" w:right="20" w:firstLine="648"/>
        <w:spacing w:after="0" w:line="282" w:lineRule="auto"/>
        <w:tabs>
          <w:tab w:leader="none" w:pos="82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Independent Directors to whom authority has been delegated by the Board in accordance with Section 7(c).</w:t>
      </w:r>
    </w:p>
    <w:p>
      <w:pPr>
        <w:spacing w:after="0" w:line="154" w:lineRule="exact"/>
        <w:rPr>
          <w:rFonts w:ascii="Times New Roman" w:cs="Times New Roman" w:eastAsia="Times New Roman" w:hAnsi="Times New Roman"/>
          <w:sz w:val="18"/>
          <w:szCs w:val="18"/>
          <w:b w:val="1"/>
          <w:bCs w:val="1"/>
          <w:color w:val="auto"/>
        </w:rPr>
      </w:pPr>
    </w:p>
    <w:p>
      <w:pPr>
        <w:ind w:left="780" w:hanging="212"/>
        <w:spacing w:after="0"/>
        <w:tabs>
          <w:tab w:leader="none" w:pos="7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0" w:lineRule="exact"/>
        <w:rPr>
          <w:rFonts w:ascii="Times New Roman" w:cs="Times New Roman" w:eastAsia="Times New Roman" w:hAnsi="Times New Roman"/>
          <w:sz w:val="18"/>
          <w:szCs w:val="18"/>
          <w:b w:val="1"/>
          <w:bCs w:val="1"/>
          <w:color w:val="auto"/>
        </w:rPr>
      </w:pPr>
    </w:p>
    <w:p>
      <w:pPr>
        <w:ind w:left="880" w:hanging="312"/>
        <w:spacing w:after="0"/>
        <w:tabs>
          <w:tab w:leader="none" w:pos="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MaxCyte, Inc., a Delaware corporation, and any successor thereto.</w:t>
      </w:r>
    </w:p>
    <w:p>
      <w:pPr>
        <w:spacing w:after="0" w:line="220" w:lineRule="exact"/>
        <w:rPr>
          <w:rFonts w:ascii="Times New Roman" w:cs="Times New Roman" w:eastAsia="Times New Roman" w:hAnsi="Times New Roman"/>
          <w:sz w:val="18"/>
          <w:szCs w:val="18"/>
          <w:b w:val="1"/>
          <w:bCs w:val="1"/>
          <w:color w:val="auto"/>
        </w:rPr>
      </w:pPr>
    </w:p>
    <w:p>
      <w:pPr>
        <w:jc w:val="both"/>
        <w:ind w:left="-80" w:firstLine="648"/>
        <w:spacing w:after="0" w:line="254" w:lineRule="auto"/>
        <w:tabs>
          <w:tab w:leader="none" w:pos="83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Consultants are not eligible to receive Awards under the Plan with respect to their service in such capacity.</w:t>
      </w:r>
    </w:p>
    <w:p>
      <w:pPr>
        <w:spacing w:after="0" w:line="181" w:lineRule="exact"/>
        <w:rPr>
          <w:rFonts w:ascii="Times New Roman" w:cs="Times New Roman" w:eastAsia="Times New Roman" w:hAnsi="Times New Roman"/>
          <w:sz w:val="18"/>
          <w:szCs w:val="18"/>
          <w:b w:val="1"/>
          <w:bCs w:val="1"/>
          <w:color w:val="auto"/>
        </w:rPr>
      </w:pPr>
    </w:p>
    <w:p>
      <w:pPr>
        <w:jc w:val="both"/>
        <w:ind w:left="-80" w:firstLine="648"/>
        <w:spacing w:after="0" w:line="250" w:lineRule="auto"/>
        <w:tabs>
          <w:tab w:leader="none" w:pos="81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United States Treasury Regulation Section 1.409A-1(h) (without regard to any alternative definition thereunder).</w:t>
      </w:r>
    </w:p>
    <w:p>
      <w:pPr>
        <w:spacing w:after="0" w:line="185" w:lineRule="exact"/>
        <w:rPr>
          <w:rFonts w:ascii="Times New Roman" w:cs="Times New Roman" w:eastAsia="Times New Roman" w:hAnsi="Times New Roman"/>
          <w:sz w:val="18"/>
          <w:szCs w:val="18"/>
          <w:b w:val="1"/>
          <w:bCs w:val="1"/>
          <w:color w:val="auto"/>
        </w:rPr>
      </w:pPr>
    </w:p>
    <w:p>
      <w:pPr>
        <w:ind w:firstLine="568"/>
        <w:spacing w:after="0" w:line="282" w:lineRule="auto"/>
        <w:tabs>
          <w:tab w:leader="none" w:pos="83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left="1520" w:hanging="231"/>
        <w:spacing w:after="0"/>
        <w:tabs>
          <w:tab w:leader="none" w:pos="152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201" w:lineRule="exact"/>
        <w:rPr>
          <w:rFonts w:ascii="Times New Roman" w:cs="Times New Roman" w:eastAsia="Times New Roman" w:hAnsi="Times New Roman"/>
          <w:sz w:val="18"/>
          <w:szCs w:val="18"/>
          <w:b w:val="1"/>
          <w:bCs w:val="1"/>
          <w:color w:val="auto"/>
        </w:rPr>
      </w:pPr>
    </w:p>
    <w:p>
      <w:pPr>
        <w:ind w:left="1560" w:hanging="271"/>
        <w:spacing w:after="0"/>
        <w:tabs>
          <w:tab w:leader="none" w:pos="156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440055</wp:posOffset>
            </wp:positionV>
            <wp:extent cx="71335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60"/>
          </w:cols>
          <w:pgMar w:left="400" w:top="892" w:right="339" w:bottom="1440" w:gutter="0" w:footer="0" w:header="0"/>
        </w:sectPr>
      </w:pPr>
    </w:p>
    <w:bookmarkStart w:id="28" w:name="page29"/>
    <w:bookmarkEnd w:id="28"/>
    <w:p>
      <w:pPr>
        <w:ind w:left="1680" w:hanging="311"/>
        <w:spacing w:after="0"/>
        <w:tabs>
          <w:tab w:leader="none" w:pos="168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0" w:lineRule="exact"/>
        <w:rPr>
          <w:rFonts w:ascii="Times New Roman" w:cs="Times New Roman" w:eastAsia="Times New Roman" w:hAnsi="Times New Roman"/>
          <w:sz w:val="18"/>
          <w:szCs w:val="18"/>
          <w:b w:val="1"/>
          <w:bCs w:val="1"/>
          <w:color w:val="auto"/>
        </w:rPr>
      </w:pPr>
    </w:p>
    <w:p>
      <w:pPr>
        <w:jc w:val="both"/>
        <w:ind w:left="80" w:firstLine="1289"/>
        <w:spacing w:after="0" w:line="262" w:lineRule="auto"/>
        <w:tabs>
          <w:tab w:leader="none" w:pos="166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3" w:lineRule="exact"/>
        <w:rPr>
          <w:rFonts w:ascii="Times New Roman" w:cs="Times New Roman" w:eastAsia="Times New Roman" w:hAnsi="Times New Roman"/>
          <w:sz w:val="18"/>
          <w:szCs w:val="18"/>
          <w:b w:val="1"/>
          <w:bCs w:val="1"/>
          <w:color w:val="auto"/>
        </w:rPr>
      </w:pPr>
    </w:p>
    <w:p>
      <w:pPr>
        <w:ind w:left="920" w:hanging="272"/>
        <w:spacing w:after="0"/>
        <w:tabs>
          <w:tab w:leader="none" w:pos="9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 Directors are not eligible to receive Awards under the Plan with respect to their service in such</w:t>
      </w:r>
    </w:p>
    <w:p>
      <w:pPr>
        <w:spacing w:after="0" w:line="2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capacity.</w:t>
      </w:r>
    </w:p>
    <w:p>
      <w:pPr>
        <w:spacing w:after="0" w:line="197" w:lineRule="exact"/>
        <w:rPr>
          <w:rFonts w:ascii="Times New Roman" w:cs="Times New Roman" w:eastAsia="Times New Roman" w:hAnsi="Times New Roman"/>
          <w:sz w:val="18"/>
          <w:szCs w:val="18"/>
          <w:b w:val="1"/>
          <w:bCs w:val="1"/>
          <w:color w:val="auto"/>
        </w:rPr>
      </w:pPr>
    </w:p>
    <w:p>
      <w:pPr>
        <w:ind w:left="900" w:hanging="252"/>
        <w:spacing w:after="0"/>
        <w:tabs>
          <w:tab w:leader="none" w:pos="9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20" w:lineRule="exact"/>
        <w:rPr>
          <w:rFonts w:ascii="Times New Roman" w:cs="Times New Roman" w:eastAsia="Times New Roman" w:hAnsi="Times New Roman"/>
          <w:sz w:val="18"/>
          <w:szCs w:val="18"/>
          <w:b w:val="1"/>
          <w:bCs w:val="1"/>
          <w:color w:val="auto"/>
        </w:rPr>
      </w:pPr>
    </w:p>
    <w:p>
      <w:pPr>
        <w:jc w:val="both"/>
        <w:ind w:firstLine="648"/>
        <w:spacing w:after="0" w:line="259" w:lineRule="auto"/>
        <w:tabs>
          <w:tab w:leader="none" w:pos="9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75" w:lineRule="exact"/>
        <w:rPr>
          <w:rFonts w:ascii="Times New Roman" w:cs="Times New Roman" w:eastAsia="Times New Roman" w:hAnsi="Times New Roman"/>
          <w:sz w:val="18"/>
          <w:szCs w:val="18"/>
          <w:b w:val="1"/>
          <w:bCs w:val="1"/>
          <w:color w:val="auto"/>
        </w:rPr>
      </w:pPr>
    </w:p>
    <w:p>
      <w:pPr>
        <w:ind w:left="880" w:hanging="232"/>
        <w:spacing w:after="0"/>
        <w:tabs>
          <w:tab w:leader="none" w:pos="8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March 29, 2026.</w:t>
      </w:r>
    </w:p>
    <w:p>
      <w:pPr>
        <w:spacing w:after="0" w:line="220" w:lineRule="exact"/>
        <w:rPr>
          <w:rFonts w:ascii="Times New Roman" w:cs="Times New Roman" w:eastAsia="Times New Roman" w:hAnsi="Times New Roman"/>
          <w:sz w:val="18"/>
          <w:szCs w:val="18"/>
          <w:b w:val="1"/>
          <w:bCs w:val="1"/>
          <w:color w:val="auto"/>
        </w:rPr>
      </w:pPr>
    </w:p>
    <w:p>
      <w:pPr>
        <w:ind w:firstLine="648"/>
        <w:spacing w:after="0" w:line="282" w:lineRule="auto"/>
        <w:tabs>
          <w:tab w:leader="none" w:pos="903"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900" w:hanging="252"/>
        <w:spacing w:after="0"/>
        <w:tabs>
          <w:tab w:leader="none" w:pos="9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0" w:lineRule="exact"/>
        <w:rPr>
          <w:rFonts w:ascii="Times New Roman" w:cs="Times New Roman" w:eastAsia="Times New Roman" w:hAnsi="Times New Roman"/>
          <w:sz w:val="18"/>
          <w:szCs w:val="18"/>
          <w:b w:val="1"/>
          <w:bCs w:val="1"/>
          <w:color w:val="auto"/>
        </w:rPr>
      </w:pPr>
    </w:p>
    <w:p>
      <w:pPr>
        <w:ind w:left="940" w:hanging="292"/>
        <w:spacing w:after="0"/>
        <w:tabs>
          <w:tab w:leader="none" w:pos="9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0" w:lineRule="exact"/>
        <w:rPr>
          <w:rFonts w:ascii="Times New Roman" w:cs="Times New Roman" w:eastAsia="Times New Roman" w:hAnsi="Times New Roman"/>
          <w:sz w:val="18"/>
          <w:szCs w:val="18"/>
          <w:b w:val="1"/>
          <w:bCs w:val="1"/>
          <w:color w:val="auto"/>
        </w:rPr>
      </w:pPr>
    </w:p>
    <w:p>
      <w:pPr>
        <w:jc w:val="both"/>
        <w:ind w:firstLine="648"/>
        <w:spacing w:after="0" w:line="253" w:lineRule="auto"/>
        <w:tabs>
          <w:tab w:leader="none" w:pos="907"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2" w:lineRule="exact"/>
        <w:rPr>
          <w:rFonts w:ascii="Times New Roman" w:cs="Times New Roman" w:eastAsia="Times New Roman" w:hAnsi="Times New Roman"/>
          <w:sz w:val="18"/>
          <w:szCs w:val="18"/>
          <w:b w:val="1"/>
          <w:bCs w:val="1"/>
          <w:color w:val="auto"/>
        </w:rPr>
      </w:pPr>
    </w:p>
    <w:p>
      <w:pPr>
        <w:ind w:firstLine="648"/>
        <w:spacing w:after="0" w:line="282" w:lineRule="auto"/>
        <w:tabs>
          <w:tab w:leader="none" w:pos="893"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158" w:lineRule="exact"/>
        <w:rPr>
          <w:rFonts w:ascii="Times New Roman" w:cs="Times New Roman" w:eastAsia="Times New Roman" w:hAnsi="Times New Roman"/>
          <w:sz w:val="18"/>
          <w:szCs w:val="18"/>
          <w:b w:val="1"/>
          <w:bCs w:val="1"/>
          <w:color w:val="auto"/>
        </w:rPr>
      </w:pPr>
    </w:p>
    <w:p>
      <w:pPr>
        <w:jc w:val="both"/>
        <w:ind w:left="80" w:firstLine="1289"/>
        <w:spacing w:after="0" w:line="262" w:lineRule="auto"/>
        <w:tabs>
          <w:tab w:leader="none" w:pos="1575"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412750</wp:posOffset>
            </wp:positionV>
            <wp:extent cx="71335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9" w:name="page30"/>
    <w:bookmarkEnd w:id="29"/>
    <w:p>
      <w:pPr>
        <w:ind w:left="-568" w:right="20" w:firstLine="1289"/>
        <w:spacing w:after="0" w:line="277" w:lineRule="auto"/>
        <w:tabs>
          <w:tab w:leader="none" w:pos="97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63" w:lineRule="exact"/>
        <w:rPr>
          <w:rFonts w:ascii="Times New Roman" w:cs="Times New Roman" w:eastAsia="Times New Roman" w:hAnsi="Times New Roman"/>
          <w:sz w:val="18"/>
          <w:szCs w:val="18"/>
          <w:b w:val="1"/>
          <w:bCs w:val="1"/>
          <w:color w:val="auto"/>
        </w:rPr>
      </w:pPr>
    </w:p>
    <w:p>
      <w:pPr>
        <w:ind w:left="-568" w:firstLine="1289"/>
        <w:spacing w:after="0" w:line="277" w:lineRule="auto"/>
        <w:tabs>
          <w:tab w:leader="none" w:pos="1039"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59" w:lineRule="exact"/>
        <w:rPr>
          <w:sz w:val="20"/>
          <w:szCs w:val="20"/>
          <w:color w:val="auto"/>
        </w:rPr>
      </w:pPr>
    </w:p>
    <w:p>
      <w:pPr>
        <w:jc w:val="both"/>
        <w:ind w:left="-648" w:firstLine="648"/>
        <w:spacing w:after="0" w:line="254" w:lineRule="auto"/>
        <w:tabs>
          <w:tab w:leader="none" w:pos="23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U.S. federal, state, local, municipal, non-U.S.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82" w:lineRule="exact"/>
        <w:rPr>
          <w:sz w:val="20"/>
          <w:szCs w:val="20"/>
          <w:color w:val="auto"/>
        </w:rPr>
      </w:pPr>
    </w:p>
    <w:p>
      <w:pPr>
        <w:jc w:val="both"/>
        <w:ind w:left="-648" w:firstLine="648"/>
        <w:spacing w:after="0" w:line="265" w:lineRule="auto"/>
        <w:tabs>
          <w:tab w:leader="none" w:pos="348"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69" w:lineRule="exact"/>
        <w:rPr>
          <w:rFonts w:ascii="Times New Roman" w:cs="Times New Roman" w:eastAsia="Times New Roman" w:hAnsi="Times New Roman"/>
          <w:sz w:val="18"/>
          <w:szCs w:val="18"/>
          <w:b w:val="1"/>
          <w:bCs w:val="1"/>
          <w:color w:val="auto"/>
        </w:rPr>
      </w:pPr>
    </w:p>
    <w:p>
      <w:pPr>
        <w:jc w:val="both"/>
        <w:ind w:left="-648" w:firstLine="648"/>
        <w:spacing w:after="0" w:line="254" w:lineRule="auto"/>
        <w:tabs>
          <w:tab w:leader="none" w:pos="381"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clarify the manner of exemption from, or to bring the Award into compliance with or qualify it for an exemption from, Section 409A; or (iii) to comply with other Applicable Law.</w:t>
      </w:r>
    </w:p>
    <w:p>
      <w:pPr>
        <w:spacing w:after="0" w:line="181" w:lineRule="exact"/>
        <w:rPr>
          <w:rFonts w:ascii="Times New Roman" w:cs="Times New Roman" w:eastAsia="Times New Roman" w:hAnsi="Times New Roman"/>
          <w:sz w:val="18"/>
          <w:szCs w:val="18"/>
          <w:b w:val="1"/>
          <w:bCs w:val="1"/>
          <w:color w:val="auto"/>
        </w:rPr>
      </w:pPr>
    </w:p>
    <w:p>
      <w:pPr>
        <w:jc w:val="both"/>
        <w:ind w:left="-648" w:firstLine="648"/>
        <w:spacing w:after="0" w:line="254" w:lineRule="auto"/>
        <w:tabs>
          <w:tab w:leader="none" w:pos="31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1" w:lineRule="exact"/>
        <w:rPr>
          <w:rFonts w:ascii="Times New Roman" w:cs="Times New Roman" w:eastAsia="Times New Roman" w:hAnsi="Times New Roman"/>
          <w:sz w:val="18"/>
          <w:szCs w:val="18"/>
          <w:b w:val="1"/>
          <w:bCs w:val="1"/>
          <w:color w:val="auto"/>
        </w:rPr>
      </w:pPr>
    </w:p>
    <w:p>
      <w:pPr>
        <w:jc w:val="both"/>
        <w:ind w:left="-648" w:firstLine="648"/>
        <w:spacing w:after="0" w:line="265" w:lineRule="auto"/>
        <w:tabs>
          <w:tab w:leader="none" w:pos="354"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Arrangement.</w:t>
      </w:r>
    </w:p>
    <w:p>
      <w:pPr>
        <w:spacing w:after="0" w:line="169" w:lineRule="exact"/>
        <w:rPr>
          <w:rFonts w:ascii="Times New Roman" w:cs="Times New Roman" w:eastAsia="Times New Roman" w:hAnsi="Times New Roman"/>
          <w:sz w:val="18"/>
          <w:szCs w:val="18"/>
          <w:b w:val="1"/>
          <w:bCs w:val="1"/>
          <w:color w:val="auto"/>
        </w:rPr>
      </w:pPr>
    </w:p>
    <w:p>
      <w:pPr>
        <w:jc w:val="both"/>
        <w:ind w:left="-648" w:firstLine="648"/>
        <w:spacing w:after="0" w:line="256" w:lineRule="auto"/>
        <w:tabs>
          <w:tab w:leader="none" w:pos="328"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United States Treasury Regulations Section 1.409A-1(b)(4), 1.409A-1(b)(9)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415925</wp:posOffset>
            </wp:positionV>
            <wp:extent cx="71335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6" w:right="339" w:bottom="1440" w:gutter="0" w:footer="0" w:header="0"/>
        </w:sectPr>
      </w:pPr>
    </w:p>
    <w:bookmarkStart w:id="30" w:name="page31"/>
    <w:bookmarkEnd w:id="30"/>
    <w:p>
      <w:pPr>
        <w:ind w:firstLine="648"/>
        <w:spacing w:after="0" w:line="282" w:lineRule="auto"/>
        <w:tabs>
          <w:tab w:leader="none" w:pos="92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980" w:hanging="332"/>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0" w:lineRule="exact"/>
        <w:rPr>
          <w:rFonts w:ascii="Times New Roman" w:cs="Times New Roman" w:eastAsia="Times New Roman" w:hAnsi="Times New Roman"/>
          <w:sz w:val="18"/>
          <w:szCs w:val="18"/>
          <w:b w:val="1"/>
          <w:bCs w:val="1"/>
          <w:color w:val="auto"/>
        </w:rPr>
      </w:pPr>
    </w:p>
    <w:p>
      <w:pPr>
        <w:ind w:left="1000" w:hanging="352"/>
        <w:spacing w:after="0"/>
        <w:tabs>
          <w:tab w:leader="none" w:pos="10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Nonstatutory Stock Option to purchase shares of Common Stock granted pursuant to the Plan.</w:t>
      </w:r>
    </w:p>
    <w:p>
      <w:pPr>
        <w:spacing w:after="0" w:line="220" w:lineRule="exact"/>
        <w:rPr>
          <w:rFonts w:ascii="Times New Roman" w:cs="Times New Roman" w:eastAsia="Times New Roman" w:hAnsi="Times New Roman"/>
          <w:sz w:val="18"/>
          <w:szCs w:val="18"/>
          <w:b w:val="1"/>
          <w:bCs w:val="1"/>
          <w:color w:val="auto"/>
        </w:rPr>
      </w:pPr>
    </w:p>
    <w:p>
      <w:pPr>
        <w:jc w:val="both"/>
        <w:ind w:firstLine="648"/>
        <w:spacing w:after="0" w:line="259" w:lineRule="auto"/>
        <w:tabs>
          <w:tab w:leader="none" w:pos="9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ind w:left="920" w:hanging="272"/>
        <w:spacing w:after="0"/>
        <w:tabs>
          <w:tab w:leader="none" w:pos="92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Optionholder</w:t>
      </w:r>
      <w:r>
        <w:rPr>
          <w:rFonts w:ascii="Times New Roman" w:cs="Times New Roman" w:eastAsia="Times New Roman" w:hAnsi="Times New Roman"/>
          <w:sz w:val="17"/>
          <w:szCs w:val="17"/>
          <w:color w:val="auto"/>
        </w:rPr>
        <w:t>” means a person to whom an Option is granted pursuant to the Plan or, if applicable, such other person who holds an outstanding</w:t>
      </w:r>
    </w:p>
    <w:p>
      <w:pPr>
        <w:spacing w:after="0" w:line="4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Option.</w:t>
      </w:r>
    </w:p>
    <w:p>
      <w:pPr>
        <w:spacing w:after="0" w:line="197" w:lineRule="exact"/>
        <w:rPr>
          <w:rFonts w:ascii="Times New Roman" w:cs="Times New Roman" w:eastAsia="Times New Roman" w:hAnsi="Times New Roman"/>
          <w:sz w:val="17"/>
          <w:szCs w:val="17"/>
          <w:b w:val="1"/>
          <w:bCs w:val="1"/>
          <w:color w:val="auto"/>
        </w:rPr>
      </w:pPr>
    </w:p>
    <w:p>
      <w:pPr>
        <w:jc w:val="both"/>
        <w:ind w:firstLine="648"/>
        <w:spacing w:after="0" w:line="265" w:lineRule="auto"/>
        <w:tabs>
          <w:tab w:leader="none" w:pos="100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 Nonstatutory Stock Option, SAR, Restricted Stock Award, RSU Award or Performance Award.</w:t>
      </w:r>
    </w:p>
    <w:p>
      <w:pPr>
        <w:spacing w:after="0" w:line="169" w:lineRule="exact"/>
        <w:rPr>
          <w:rFonts w:ascii="Times New Roman" w:cs="Times New Roman" w:eastAsia="Times New Roman" w:hAnsi="Times New Roman"/>
          <w:sz w:val="18"/>
          <w:szCs w:val="18"/>
          <w:b w:val="1"/>
          <w:bCs w:val="1"/>
          <w:color w:val="auto"/>
        </w:rPr>
      </w:pPr>
    </w:p>
    <w:p>
      <w:pPr>
        <w:ind w:right="20" w:firstLine="648"/>
        <w:spacing w:after="0" w:line="282" w:lineRule="auto"/>
        <w:tabs>
          <w:tab w:leader="none" w:pos="9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jc w:val="both"/>
        <w:ind w:firstLine="648"/>
        <w:spacing w:after="0" w:line="265" w:lineRule="auto"/>
        <w:tabs>
          <w:tab w:leader="none" w:pos="1101"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9" w:lineRule="exact"/>
        <w:rPr>
          <w:rFonts w:ascii="Times New Roman" w:cs="Times New Roman" w:eastAsia="Times New Roman" w:hAnsi="Times New Roman"/>
          <w:sz w:val="18"/>
          <w:szCs w:val="18"/>
          <w:b w:val="1"/>
          <w:bCs w:val="1"/>
          <w:color w:val="auto"/>
        </w:rPr>
      </w:pPr>
    </w:p>
    <w:p>
      <w:pPr>
        <w:ind w:firstLine="648"/>
        <w:spacing w:after="0" w:line="282" w:lineRule="auto"/>
        <w:tabs>
          <w:tab w:leader="none" w:pos="1029"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to whom an Award is granted pursuant to the Plan or, if applicable, such other person who holds an outstanding Award.</w:t>
      </w:r>
    </w:p>
    <w:p>
      <w:pPr>
        <w:spacing w:after="0" w:line="154" w:lineRule="exact"/>
        <w:rPr>
          <w:rFonts w:ascii="Times New Roman" w:cs="Times New Roman" w:eastAsia="Times New Roman" w:hAnsi="Times New Roman"/>
          <w:sz w:val="18"/>
          <w:szCs w:val="18"/>
          <w:b w:val="1"/>
          <w:bCs w:val="1"/>
          <w:color w:val="auto"/>
        </w:rPr>
      </w:pPr>
    </w:p>
    <w:p>
      <w:pPr>
        <w:jc w:val="both"/>
        <w:ind w:firstLine="648"/>
        <w:spacing w:after="0" w:line="272" w:lineRule="auto"/>
        <w:tabs>
          <w:tab w:leader="none" w:pos="982"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a majority of the Company’s Independent Directors or the Independent Compensation Committee. In addition, to the extent permitted by Applicable Law and set forth in the applicable Award Agreement, a majority of the Company’s Independent Directors or the Independent Compensation Committee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66" w:lineRule="exact"/>
        <w:rPr>
          <w:rFonts w:ascii="Times New Roman" w:cs="Times New Roman" w:eastAsia="Times New Roman" w:hAnsi="Times New Roman"/>
          <w:sz w:val="17"/>
          <w:szCs w:val="17"/>
          <w:b w:val="1"/>
          <w:bCs w:val="1"/>
          <w:color w:val="auto"/>
        </w:rPr>
      </w:pPr>
    </w:p>
    <w:p>
      <w:pPr>
        <w:jc w:val="both"/>
        <w:ind w:firstLine="648"/>
        <w:spacing w:after="0" w:line="264" w:lineRule="auto"/>
        <w:tabs>
          <w:tab w:leader="none" w:pos="1042"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Criteria</w:t>
      </w:r>
      <w:r>
        <w:rPr>
          <w:rFonts w:ascii="Times New Roman" w:cs="Times New Roman" w:eastAsia="Times New Roman" w:hAnsi="Times New Roman"/>
          <w:sz w:val="17"/>
          <w:szCs w:val="17"/>
          <w:color w:val="auto"/>
        </w:rPr>
        <w:t>” means the one or more criteria that a majority of the Company’s Independent Directors or the Independent Compensation Committee will select for purposes of establishing the Performance Goals for a Performance Period. The Performance Criteria that may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net income/loss adjusted for interest expense, interest income, other income/expenses, net provision for/benefit from income taxes, depreciation and amortization, legal settlement expenses and stock-based compensation expenses; other earnings measures;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pre-clinical development related compound goals; operations within or below pre-determined annual budget, sales of certain number of instruments, reagents and/or service contracts; financing; regulatory milestones, including approval of a compound; stockholder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key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Company’s Independent Directors or the Independent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554990</wp:posOffset>
            </wp:positionV>
            <wp:extent cx="71335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1" w:name="page32"/>
    <w:bookmarkEnd w:id="31"/>
    <w:p>
      <w:pPr>
        <w:jc w:val="both"/>
        <w:ind w:left="-648" w:firstLine="648"/>
        <w:spacing w:after="0" w:line="265" w:lineRule="auto"/>
        <w:tabs>
          <w:tab w:leader="none" w:pos="381"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Goals</w:t>
      </w:r>
      <w:r>
        <w:rPr>
          <w:rFonts w:ascii="Times New Roman" w:cs="Times New Roman" w:eastAsia="Times New Roman" w:hAnsi="Times New Roman"/>
          <w:sz w:val="17"/>
          <w:szCs w:val="17"/>
          <w:color w:val="auto"/>
        </w:rPr>
        <w:t>” means, for a Performance Period, the one or more goals established by a majority of the Company’s Independent Directors or the Independent Compensation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Company’s Independent Directors or the Independent Compensation Committee (i) in the Award Agreement at the time the Award is granted or (ii) in such other document setting forth the Performance Goals at the time the Performance Goals are established, the Company’s Independent Directors or the Independent Compensation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Company’s Independent Directors or the Independent Compensation Committee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411480</wp:posOffset>
            </wp:positionV>
            <wp:extent cx="7133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2" w:right="339" w:bottom="1440" w:gutter="0" w:footer="0" w:header="0"/>
        </w:sectPr>
      </w:pPr>
    </w:p>
    <w:bookmarkStart w:id="32" w:name="page33"/>
    <w:bookmarkEnd w:id="32"/>
    <w:p>
      <w:pPr>
        <w:jc w:val="both"/>
        <w:ind w:firstLine="648"/>
        <w:spacing w:after="0" w:line="259" w:lineRule="auto"/>
        <w:tabs>
          <w:tab w:leader="none" w:pos="100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a majority of the Company’s Independent Directors or the Independent Compensation Committee over which the attainment of one or more Performance Goals will be measured for the purpose of determining a Participant’s right to vesting or exercise of an Award. Performance Periods may be of varying and overlapping duration, at the sole discretion of a majority of the Company’s Independent Directors or the Independent Compensation Committee.</w:t>
      </w:r>
    </w:p>
    <w:p>
      <w:pPr>
        <w:spacing w:after="0" w:line="175" w:lineRule="exact"/>
        <w:rPr>
          <w:rFonts w:ascii="Times New Roman" w:cs="Times New Roman" w:eastAsia="Times New Roman" w:hAnsi="Times New Roman"/>
          <w:sz w:val="18"/>
          <w:szCs w:val="18"/>
          <w:b w:val="1"/>
          <w:bCs w:val="1"/>
          <w:color w:val="auto"/>
        </w:rPr>
      </w:pPr>
    </w:p>
    <w:p>
      <w:pPr>
        <w:ind w:left="940" w:hanging="292"/>
        <w:spacing w:after="0"/>
        <w:tabs>
          <w:tab w:leader="none" w:pos="9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MaxCyte, Inc. Inducement Plan, as amended from time to time.</w:t>
      </w:r>
    </w:p>
    <w:p>
      <w:pPr>
        <w:spacing w:after="0" w:line="220" w:lineRule="exact"/>
        <w:rPr>
          <w:rFonts w:ascii="Times New Roman" w:cs="Times New Roman" w:eastAsia="Times New Roman" w:hAnsi="Times New Roman"/>
          <w:sz w:val="18"/>
          <w:szCs w:val="18"/>
          <w:b w:val="1"/>
          <w:bCs w:val="1"/>
          <w:color w:val="auto"/>
        </w:rPr>
      </w:pPr>
    </w:p>
    <w:p>
      <w:pPr>
        <w:ind w:firstLine="648"/>
        <w:spacing w:after="0" w:line="282" w:lineRule="auto"/>
        <w:tabs>
          <w:tab w:leader="none" w:pos="93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154" w:lineRule="exact"/>
        <w:rPr>
          <w:rFonts w:ascii="Times New Roman" w:cs="Times New Roman" w:eastAsia="Times New Roman" w:hAnsi="Times New Roman"/>
          <w:sz w:val="18"/>
          <w:szCs w:val="18"/>
          <w:b w:val="1"/>
          <w:bCs w:val="1"/>
          <w:color w:val="auto"/>
        </w:rPr>
      </w:pPr>
    </w:p>
    <w:p>
      <w:pPr>
        <w:ind w:firstLine="648"/>
        <w:spacing w:after="0" w:line="282" w:lineRule="auto"/>
        <w:tabs>
          <w:tab w:leader="none" w:pos="100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154" w:lineRule="exact"/>
        <w:rPr>
          <w:rFonts w:ascii="Times New Roman" w:cs="Times New Roman" w:eastAsia="Times New Roman" w:hAnsi="Times New Roman"/>
          <w:sz w:val="18"/>
          <w:szCs w:val="18"/>
          <w:b w:val="1"/>
          <w:bCs w:val="1"/>
          <w:color w:val="auto"/>
        </w:rPr>
      </w:pPr>
    </w:p>
    <w:p>
      <w:pPr>
        <w:ind w:left="1000" w:hanging="352"/>
        <w:spacing w:after="0"/>
        <w:tabs>
          <w:tab w:leader="none" w:pos="10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w:t>
      </w:r>
    </w:p>
    <w:p>
      <w:pPr>
        <w:spacing w:after="0" w:line="2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5(a).</w:t>
      </w:r>
    </w:p>
    <w:p>
      <w:pPr>
        <w:spacing w:after="0" w:line="197" w:lineRule="exact"/>
        <w:rPr>
          <w:rFonts w:ascii="Times New Roman" w:cs="Times New Roman" w:eastAsia="Times New Roman" w:hAnsi="Times New Roman"/>
          <w:sz w:val="18"/>
          <w:szCs w:val="18"/>
          <w:b w:val="1"/>
          <w:bCs w:val="1"/>
          <w:color w:val="auto"/>
        </w:rPr>
      </w:pPr>
    </w:p>
    <w:p>
      <w:pPr>
        <w:jc w:val="both"/>
        <w:ind w:firstLine="648"/>
        <w:spacing w:after="0" w:line="256" w:lineRule="auto"/>
        <w:tabs>
          <w:tab w:leader="none" w:pos="107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78" w:lineRule="exact"/>
        <w:rPr>
          <w:rFonts w:ascii="Times New Roman" w:cs="Times New Roman" w:eastAsia="Times New Roman" w:hAnsi="Times New Roman"/>
          <w:sz w:val="18"/>
          <w:szCs w:val="18"/>
          <w:b w:val="1"/>
          <w:bCs w:val="1"/>
          <w:color w:val="auto"/>
        </w:rPr>
      </w:pPr>
    </w:p>
    <w:p>
      <w:pPr>
        <w:ind w:right="20" w:firstLine="648"/>
        <w:spacing w:after="0" w:line="282" w:lineRule="auto"/>
        <w:tabs>
          <w:tab w:leader="none" w:pos="996"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154" w:lineRule="exact"/>
        <w:rPr>
          <w:rFonts w:ascii="Times New Roman" w:cs="Times New Roman" w:eastAsia="Times New Roman" w:hAnsi="Times New Roman"/>
          <w:sz w:val="18"/>
          <w:szCs w:val="18"/>
          <w:b w:val="1"/>
          <w:bCs w:val="1"/>
          <w:color w:val="auto"/>
        </w:rPr>
      </w:pPr>
    </w:p>
    <w:p>
      <w:pPr>
        <w:jc w:val="both"/>
        <w:ind w:firstLine="648"/>
        <w:spacing w:after="0" w:line="259" w:lineRule="auto"/>
        <w:tabs>
          <w:tab w:leader="none" w:pos="98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414020</wp:posOffset>
            </wp:positionV>
            <wp:extent cx="7133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3" w:name="page34"/>
    <w:bookmarkEnd w:id="33"/>
    <w:p>
      <w:pPr>
        <w:ind w:left="312" w:hanging="312"/>
        <w:spacing w:after="0"/>
        <w:tabs>
          <w:tab w:leader="none" w:pos="31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0" w:lineRule="exact"/>
        <w:rPr>
          <w:sz w:val="20"/>
          <w:szCs w:val="20"/>
          <w:color w:val="auto"/>
        </w:rPr>
      </w:pPr>
    </w:p>
    <w:p>
      <w:pPr>
        <w:ind w:left="432" w:hanging="432"/>
        <w:spacing w:after="0"/>
        <w:tabs>
          <w:tab w:leader="none" w:pos="43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0"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20" w:lineRule="exact"/>
        <w:rPr>
          <w:rFonts w:ascii="Times New Roman" w:cs="Times New Roman" w:eastAsia="Times New Roman" w:hAnsi="Times New Roman"/>
          <w:sz w:val="18"/>
          <w:szCs w:val="18"/>
          <w:b w:val="1"/>
          <w:bCs w:val="1"/>
          <w:color w:val="auto"/>
        </w:rPr>
      </w:pPr>
    </w:p>
    <w:p>
      <w:pPr>
        <w:jc w:val="both"/>
        <w:ind w:left="-648" w:firstLine="648"/>
        <w:spacing w:after="0" w:line="265" w:lineRule="auto"/>
        <w:tabs>
          <w:tab w:leader="none" w:pos="393"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United States Treasury Regulations Section 1.409A-3(i)(5) (without regard to any alternative definition thereunder).</w:t>
      </w:r>
    </w:p>
    <w:p>
      <w:pPr>
        <w:spacing w:after="0" w:line="169"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0" w:lineRule="exact"/>
        <w:rPr>
          <w:rFonts w:ascii="Times New Roman" w:cs="Times New Roman" w:eastAsia="Times New Roman" w:hAnsi="Times New Roman"/>
          <w:sz w:val="18"/>
          <w:szCs w:val="18"/>
          <w:b w:val="1"/>
          <w:bCs w:val="1"/>
          <w:color w:val="auto"/>
        </w:rPr>
      </w:pPr>
    </w:p>
    <w:p>
      <w:pPr>
        <w:ind w:left="392" w:hanging="392"/>
        <w:spacing w:after="0"/>
        <w:tabs>
          <w:tab w:leader="none" w:pos="39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20" w:lineRule="exact"/>
        <w:rPr>
          <w:rFonts w:ascii="Times New Roman" w:cs="Times New Roman" w:eastAsia="Times New Roman" w:hAnsi="Times New Roman"/>
          <w:sz w:val="18"/>
          <w:szCs w:val="18"/>
          <w:b w:val="1"/>
          <w:bCs w:val="1"/>
          <w:color w:val="auto"/>
        </w:rPr>
      </w:pPr>
    </w:p>
    <w:p>
      <w:pPr>
        <w:ind w:left="-648" w:firstLine="648"/>
        <w:spacing w:after="0" w:line="282" w:lineRule="auto"/>
        <w:tabs>
          <w:tab w:leader="none" w:pos="34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154" w:lineRule="exact"/>
        <w:rPr>
          <w:rFonts w:ascii="Times New Roman" w:cs="Times New Roman" w:eastAsia="Times New Roman" w:hAnsi="Times New Roman"/>
          <w:sz w:val="18"/>
          <w:szCs w:val="18"/>
          <w:b w:val="1"/>
          <w:bCs w:val="1"/>
          <w:color w:val="auto"/>
        </w:rPr>
      </w:pPr>
    </w:p>
    <w:p>
      <w:pPr>
        <w:jc w:val="both"/>
        <w:ind w:left="-648" w:firstLine="648"/>
        <w:spacing w:after="0" w:line="259" w:lineRule="auto"/>
        <w:tabs>
          <w:tab w:leader="none" w:pos="423"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5" w:lineRule="exact"/>
        <w:rPr>
          <w:rFonts w:ascii="Times New Roman" w:cs="Times New Roman" w:eastAsia="Times New Roman" w:hAnsi="Times New Roman"/>
          <w:sz w:val="18"/>
          <w:szCs w:val="18"/>
          <w:b w:val="1"/>
          <w:bCs w:val="1"/>
          <w:color w:val="auto"/>
        </w:rPr>
      </w:pPr>
    </w:p>
    <w:p>
      <w:pPr>
        <w:jc w:val="both"/>
        <w:ind w:left="-648" w:firstLine="648"/>
        <w:spacing w:after="0" w:line="256" w:lineRule="auto"/>
        <w:tabs>
          <w:tab w:leader="none" w:pos="46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8" w:lineRule="exact"/>
        <w:rPr>
          <w:rFonts w:ascii="Times New Roman" w:cs="Times New Roman" w:eastAsia="Times New Roman" w:hAnsi="Times New Roman"/>
          <w:sz w:val="18"/>
          <w:szCs w:val="18"/>
          <w:b w:val="1"/>
          <w:bCs w:val="1"/>
          <w:color w:val="auto"/>
        </w:rPr>
      </w:pPr>
    </w:p>
    <w:p>
      <w:pPr>
        <w:ind w:left="-648" w:firstLine="648"/>
        <w:spacing w:after="0" w:line="282" w:lineRule="auto"/>
        <w:tabs>
          <w:tab w:leader="none" w:pos="31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54" w:lineRule="exact"/>
        <w:rPr>
          <w:rFonts w:ascii="Times New Roman" w:cs="Times New Roman" w:eastAsia="Times New Roman" w:hAnsi="Times New Roman"/>
          <w:sz w:val="18"/>
          <w:szCs w:val="18"/>
          <w:b w:val="1"/>
          <w:bCs w:val="1"/>
          <w:color w:val="auto"/>
        </w:rPr>
      </w:pPr>
    </w:p>
    <w:p>
      <w:pPr>
        <w:ind w:left="-648" w:firstLine="648"/>
        <w:spacing w:after="0" w:line="282" w:lineRule="auto"/>
        <w:tabs>
          <w:tab w:leader="none" w:pos="33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154" w:lineRule="exact"/>
        <w:rPr>
          <w:rFonts w:ascii="Times New Roman" w:cs="Times New Roman" w:eastAsia="Times New Roman" w:hAnsi="Times New Roman"/>
          <w:sz w:val="18"/>
          <w:szCs w:val="18"/>
          <w:b w:val="1"/>
          <w:bCs w:val="1"/>
          <w:color w:val="auto"/>
        </w:rPr>
      </w:pPr>
    </w:p>
    <w:p>
      <w:pPr>
        <w:ind w:left="-648" w:firstLine="648"/>
        <w:spacing w:after="0" w:line="282" w:lineRule="auto"/>
        <w:tabs>
          <w:tab w:leader="none" w:pos="453"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400685</wp:posOffset>
            </wp:positionV>
            <wp:extent cx="71335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0592"/>
          </w:cols>
          <w:pgMar w:left="968" w:top="892" w:right="339" w:bottom="1440" w:gutter="0" w:footer="0" w:header="0"/>
        </w:sectPr>
      </w:pPr>
    </w:p>
    <w:bookmarkStart w:id="34" w:name="page35"/>
    <w:bookmarkEnd w:id="34"/>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MAXCYTE,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480" w:type="dxa"/>
            <w:vAlign w:val="bottom"/>
            <w:shd w:val="clear" w:color="auto" w:fill="9ADAF6"/>
          </w:tcPr>
          <w:p>
            <w:pPr>
              <w:ind w:left="200"/>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$0.01 par</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1,000,000</w:t>
            </w:r>
          </w:p>
        </w:tc>
        <w:tc>
          <w:tcPr>
            <w:tcW w:w="20" w:type="dxa"/>
            <w:vAlign w:val="bottom"/>
          </w:tcPr>
          <w:p>
            <w:pPr>
              <w:spacing w:after="0"/>
              <w:rPr>
                <w:sz w:val="20"/>
                <w:szCs w:val="20"/>
                <w:color w:val="auto"/>
              </w:rPr>
            </w:pPr>
          </w:p>
        </w:tc>
        <w:tc>
          <w:tcPr>
            <w:tcW w:w="13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$ 0.80</w:t>
            </w:r>
          </w:p>
        </w:tc>
        <w:tc>
          <w:tcPr>
            <w:tcW w:w="20" w:type="dxa"/>
            <w:vAlign w:val="bottom"/>
          </w:tcPr>
          <w:p>
            <w:pPr>
              <w:spacing w:after="0"/>
              <w:rPr>
                <w:sz w:val="20"/>
                <w:szCs w:val="20"/>
                <w:color w:val="auto"/>
              </w:rPr>
            </w:pPr>
          </w:p>
        </w:tc>
        <w:tc>
          <w:tcPr>
            <w:tcW w:w="1480" w:type="dxa"/>
            <w:vAlign w:val="bottom"/>
            <w:shd w:val="clear" w:color="auto" w:fill="E7E7E2"/>
          </w:tcPr>
          <w:p>
            <w:pPr>
              <w:ind w:left="200"/>
              <w:spacing w:after="0" w:line="240" w:lineRule="exact"/>
              <w:rPr>
                <w:sz w:val="20"/>
                <w:szCs w:val="20"/>
                <w:color w:val="auto"/>
              </w:rPr>
            </w:pPr>
            <w:r>
              <w:rPr>
                <w:rFonts w:ascii="Arial" w:cs="Arial" w:eastAsia="Arial" w:hAnsi="Arial"/>
                <w:sz w:val="21"/>
                <w:szCs w:val="21"/>
                <w:color w:val="auto"/>
              </w:rPr>
              <w:t>$ 800,000.00</w:t>
            </w:r>
          </w:p>
        </w:tc>
        <w:tc>
          <w:tcPr>
            <w:tcW w:w="2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$ 110.48</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 per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gridSpan w:val="2"/>
          </w:tcPr>
          <w:p>
            <w:pPr>
              <w:ind w:left="220"/>
              <w:spacing w:after="0"/>
              <w:rPr>
                <w:sz w:val="20"/>
                <w:szCs w:val="20"/>
                <w:color w:val="auto"/>
              </w:rPr>
            </w:pPr>
            <w:r>
              <w:rPr>
                <w:rFonts w:ascii="Arial" w:cs="Arial" w:eastAsia="Arial" w:hAnsi="Arial"/>
                <w:sz w:val="21"/>
                <w:szCs w:val="21"/>
                <w:color w:val="auto"/>
              </w:rPr>
              <w:t>$ 800,000.00</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$ 110.48</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$ 110.48</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980" w:firstLine="2"/>
        <w:spacing w:after="0" w:line="246" w:lineRule="auto"/>
        <w:tabs>
          <w:tab w:leader="none" w:pos="1121" w:val="left"/>
        </w:tabs>
        <w:numPr>
          <w:ilvl w:val="0"/>
          <w:numId w:val="55"/>
        </w:numPr>
        <w:rPr>
          <w:rFonts w:ascii="Arial" w:cs="Arial" w:eastAsia="Arial" w:hAnsi="Arial"/>
          <w:sz w:val="21"/>
          <w:szCs w:val="21"/>
          <w:color w:val="auto"/>
        </w:rPr>
      </w:pPr>
      <w:r>
        <w:rPr>
          <w:rFonts w:ascii="Arial" w:cs="Arial" w:eastAsia="Arial" w:hAnsi="Arial"/>
          <w:sz w:val="21"/>
          <w:szCs w:val="21"/>
          <w:color w:val="auto"/>
        </w:rPr>
        <w:t>Represents shares of the Registrant's Common Stock available for issuance under the MaxCyte, Inc. 2026 Inducement Plan (the "2026 Plan"). Pursuant to Rule 416 of the Securities Act of 1933, as amended (the "Securities Act"), this Registration Statement also covers any additional shares of Registrant's Common Stock that become issuable under the 2026 Plan set forth herein by reason of any stock dividend, stock split, recapitalization, or other similar transaction effected that results in an increase to the number of outstanding shares of Registrant's Common Stock, as applicable.</w:t>
      </w:r>
    </w:p>
    <w:p>
      <w:pPr>
        <w:spacing w:after="0" w:line="198" w:lineRule="exact"/>
        <w:rPr>
          <w:rFonts w:ascii="Arial" w:cs="Arial" w:eastAsia="Arial" w:hAnsi="Arial"/>
          <w:sz w:val="21"/>
          <w:szCs w:val="21"/>
          <w:color w:val="auto"/>
        </w:rPr>
      </w:pPr>
    </w:p>
    <w:p>
      <w:pPr>
        <w:ind w:left="800" w:right="1200" w:firstLine="2"/>
        <w:spacing w:after="0" w:line="258" w:lineRule="auto"/>
        <w:tabs>
          <w:tab w:leader="none" w:pos="1121" w:val="left"/>
        </w:tabs>
        <w:numPr>
          <w:ilvl w:val="0"/>
          <w:numId w:val="55"/>
        </w:numPr>
        <w:rPr>
          <w:rFonts w:ascii="Arial" w:cs="Arial" w:eastAsia="Arial" w:hAnsi="Arial"/>
          <w:sz w:val="21"/>
          <w:szCs w:val="21"/>
          <w:color w:val="auto"/>
        </w:rPr>
      </w:pPr>
      <w:r>
        <w:rPr>
          <w:rFonts w:ascii="Arial" w:cs="Arial" w:eastAsia="Arial" w:hAnsi="Arial"/>
          <w:sz w:val="21"/>
          <w:szCs w:val="21"/>
          <w:color w:val="auto"/>
        </w:rPr>
        <w:t>Estimated in accordance with Rules 457(c) and 457(h) solely for the purpose of calculating the registration fee on the basis of $0.80 per share, the average of the high and low prices of the Registrant's Common Stock on April 13, 2026 as reported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69215</wp:posOffset>
            </wp:positionV>
            <wp:extent cx="63874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1."/>
      <w:numFmt w:val="decimal"/>
      <w:start w:val="4"/>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81386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5">
    <w:nsid w:val="1E7FF521"/>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6">
    <w:nsid w:val="7C3DBD3D"/>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
    <w:nsid w:val="737B8DDC"/>
    <w:multiLevelType w:val="hybridMultilevel"/>
    <w:lvl w:ilvl="0">
      <w:lvlJc w:val="left"/>
      <w:lvlText w:val="(%1)"/>
      <w:numFmt w:val="lowerLetter"/>
      <w:start w:val="1"/>
    </w:lvl>
  </w:abstractNum>
  <w:abstractNum w:abstractNumId="8">
    <w:nsid w:val="6CEAF087"/>
    <w:multiLevelType w:val="hybridMultilevel"/>
    <w:lvl w:ilvl="0">
      <w:lvlJc w:val="left"/>
      <w:lvlText w:val="%1"/>
      <w:numFmt w:val="lowerLetter"/>
      <w:start w:val="1"/>
    </w:lvl>
    <w:lvl w:ilvl="1">
      <w:lvlJc w:val="left"/>
      <w:lvlText w:val="(%2)"/>
      <w:numFmt w:val="lowerRoman"/>
      <w:start w:val="1"/>
    </w:lvl>
  </w:abstractNum>
  <w:abstractNum w:abstractNumId="9">
    <w:nsid w:val="22221A70"/>
    <w:multiLevelType w:val="hybridMultilevel"/>
    <w:lvl w:ilvl="0">
      <w:lvlJc w:val="left"/>
      <w:lvlText w:val="(%1)"/>
      <w:numFmt w:val="lowerLetter"/>
      <w:start w:val="4"/>
    </w:lvl>
    <w:lvl w:ilvl="1">
      <w:lvlJc w:val="left"/>
      <w:lvlText w:val="(%2)"/>
      <w:numFmt w:val="lowerRoman"/>
      <w:start w:val="1"/>
    </w:lvl>
  </w:abstractNum>
  <w:abstractNum w:abstractNumId="10">
    <w:nsid w:val="4516DDE9"/>
    <w:multiLevelType w:val="hybridMultilevel"/>
    <w:lvl w:ilvl="0">
      <w:lvlJc w:val="left"/>
      <w:lvlText w:val="%1"/>
      <w:numFmt w:val="lowerLetter"/>
      <w:start w:val="1"/>
    </w:lvl>
    <w:lvl w:ilvl="1">
      <w:lvlJc w:val="left"/>
      <w:lvlText w:val="(%2)"/>
      <w:numFmt w:val="lowerLetter"/>
      <w:start w:val="35"/>
    </w:lvl>
  </w:abstractNum>
  <w:abstractNum w:abstractNumId="11">
    <w:nsid w:val="3006C83E"/>
    <w:multiLevelType w:val="hybridMultilevel"/>
    <w:lvl w:ilvl="0">
      <w:lvlJc w:val="left"/>
      <w:lvlText w:val="(%1)"/>
      <w:numFmt w:val="lowerLetter"/>
      <w:start w:val="6"/>
    </w:lvl>
    <w:lvl w:ilvl="1">
      <w:lvlJc w:val="left"/>
      <w:lvlText w:val="(%2)"/>
      <w:numFmt w:val="lowerLetter"/>
      <w:start w:val="9"/>
    </w:lvl>
  </w:abstractNum>
  <w:abstractNum w:abstractNumId="12">
    <w:nsid w:val="614FD4A1"/>
    <w:multiLevelType w:val="hybridMultilevel"/>
    <w:lvl w:ilvl="0">
      <w:lvlJc w:val="left"/>
      <w:lvlText w:val="(%1)"/>
      <w:numFmt w:val="lowerRoman"/>
      <w:start w:val="2"/>
    </w:lvl>
  </w:abstractNum>
  <w:abstractNum w:abstractNumId="13">
    <w:nsid w:val="419AC241"/>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decimal"/>
      <w:start w:val="1"/>
    </w:lvl>
  </w:abstractNum>
  <w:abstractNum w:abstractNumId="14">
    <w:nsid w:val="5577F8E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5">
    <w:nsid w:val="440BADFC"/>
    <w:multiLevelType w:val="hybridMultilevel"/>
    <w:lvl w:ilvl="0">
      <w:lvlJc w:val="left"/>
      <w:lvlText w:val="(%1)"/>
      <w:numFmt w:val="lowerRoman"/>
      <w:start w:val="2"/>
    </w:lvl>
    <w:lvl w:ilvl="1">
      <w:lvlJc w:val="left"/>
      <w:lvlText w:val="(%2)"/>
      <w:numFmt w:val="decimal"/>
      <w:start w:val="1"/>
    </w:lvl>
  </w:abstractNum>
  <w:abstractNum w:abstractNumId="16">
    <w:nsid w:val="5072367"/>
    <w:multiLevelType w:val="hybridMultilevel"/>
    <w:lvl w:ilvl="0">
      <w:lvlJc w:val="left"/>
      <w:lvlText w:val="(%1)"/>
      <w:numFmt w:val="lowerRoman"/>
      <w:start w:val="6"/>
    </w:lvl>
  </w:abstractNum>
  <w:abstractNum w:abstractNumId="17">
    <w:nsid w:val="3804823E"/>
    <w:multiLevelType w:val="hybridMultilevel"/>
    <w:lvl w:ilvl="0">
      <w:lvlJc w:val="left"/>
      <w:lvlText w:val="%1"/>
      <w:numFmt w:val="decimal"/>
      <w:start w:val="1"/>
    </w:lvl>
    <w:lvl w:ilvl="1">
      <w:lvlJc w:val="left"/>
      <w:lvlText w:val="(%2)"/>
      <w:numFmt w:val="lowerLetter"/>
      <w:start w:val="2"/>
    </w:lvl>
  </w:abstractNum>
  <w:abstractNum w:abstractNumId="18">
    <w:nsid w:val="77465F01"/>
    <w:multiLevelType w:val="hybridMultilevel"/>
    <w:lvl w:ilvl="0">
      <w:lvlJc w:val="left"/>
      <w:lvlText w:val="%1."/>
      <w:numFmt w:val="decimal"/>
      <w:start w:val="6"/>
    </w:lvl>
    <w:lvl w:ilvl="1">
      <w:lvlJc w:val="left"/>
      <w:lvlText w:val="(%2)"/>
      <w:numFmt w:val="lowerLetter"/>
      <w:start w:val="1"/>
    </w:lvl>
  </w:abstractNum>
  <w:abstractNum w:abstractNumId="19">
    <w:nsid w:val="7724C67E"/>
    <w:multiLevelType w:val="hybridMultilevel"/>
    <w:lvl w:ilvl="0">
      <w:lvlJc w:val="left"/>
      <w:lvlText w:val="(%1)"/>
      <w:numFmt w:val="lowerRoman"/>
      <w:start w:val="1"/>
    </w:lvl>
  </w:abstractNum>
  <w:abstractNum w:abstractNumId="20">
    <w:nsid w:val="5C482A9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1">
    <w:nsid w:val="2463B9EA"/>
    <w:multiLevelType w:val="hybridMultilevel"/>
    <w:lvl w:ilvl="0">
      <w:lvlJc w:val="left"/>
      <w:lvlText w:val="(%1)"/>
      <w:numFmt w:val="lowerRoman"/>
      <w:start w:val="2"/>
    </w:lvl>
    <w:lvl w:ilvl="1">
      <w:lvlJc w:val="left"/>
      <w:lvlText w:val="(%2)"/>
      <w:numFmt w:val="lowerLetter"/>
      <w:start w:val="3"/>
    </w:lvl>
    <w:lvl w:ilvl="2">
      <w:lvlJc w:val="left"/>
      <w:lvlText w:val="(%3)"/>
      <w:numFmt w:val="lowerRoman"/>
      <w:start w:val="3"/>
    </w:lvl>
  </w:abstractNum>
  <w:abstractNum w:abstractNumId="22">
    <w:nsid w:val="5E884AD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
    <w:nsid w:val="51EAD36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abstractNum>
  <w:abstractNum w:abstractNumId="24">
    <w:nsid w:val="2D517796"/>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25">
    <w:nsid w:val="580BD78F"/>
    <w:multiLevelType w:val="hybridMultilevel"/>
    <w:lvl w:ilvl="0">
      <w:lvlJc w:val="left"/>
      <w:lvlText w:val="%1."/>
      <w:numFmt w:val="decimal"/>
      <w:start w:val="8"/>
    </w:lvl>
    <w:lvl w:ilvl="1">
      <w:lvlJc w:val="left"/>
      <w:lvlText w:val="(%2)"/>
      <w:numFmt w:val="lowerLetter"/>
      <w:start w:val="1"/>
    </w:lvl>
  </w:abstractNum>
  <w:abstractNum w:abstractNumId="26">
    <w:nsid w:val="153EA438"/>
    <w:multiLevelType w:val="hybridMultilevel"/>
    <w:lvl w:ilvl="0">
      <w:lvlJc w:val="left"/>
      <w:lvlText w:val="%1."/>
      <w:numFmt w:val="decimal"/>
      <w:start w:val="9"/>
    </w:lvl>
    <w:lvl w:ilvl="1">
      <w:lvlJc w:val="left"/>
      <w:lvlText w:val="(%2)"/>
      <w:numFmt w:val="lowerLetter"/>
      <w:start w:val="1"/>
    </w:lvl>
  </w:abstractNum>
  <w:abstractNum w:abstractNumId="27">
    <w:nsid w:val="3855585C"/>
    <w:multiLevelType w:val="hybridMultilevel"/>
    <w:lvl w:ilvl="0">
      <w:lvlJc w:val="left"/>
      <w:lvlText w:val="(%1)"/>
      <w:numFmt w:val="lowerLetter"/>
      <w:start w:val="7"/>
    </w:lvl>
  </w:abstractNum>
  <w:abstractNum w:abstractNumId="28">
    <w:nsid w:val="70A64E2A"/>
    <w:multiLevelType w:val="hybridMultilevel"/>
    <w:lvl w:ilvl="0">
      <w:lvlJc w:val="left"/>
      <w:lvlText w:val="%1"/>
      <w:numFmt w:val="decimal"/>
      <w:start w:val="1"/>
    </w:lvl>
    <w:lvl w:ilvl="1">
      <w:lvlJc w:val="left"/>
      <w:lvlText w:val="(%2)"/>
      <w:numFmt w:val="lowerLetter"/>
      <w:start w:val="14"/>
    </w:lvl>
  </w:abstractNum>
  <w:abstractNum w:abstractNumId="29">
    <w:nsid w:val="6A2342EC"/>
    <w:multiLevelType w:val="hybridMultilevel"/>
    <w:lvl w:ilvl="0">
      <w:lvlJc w:val="left"/>
      <w:lvlText w:val="%1."/>
      <w:numFmt w:val="decimal"/>
      <w:start w:val="10"/>
    </w:lvl>
    <w:lvl w:ilvl="1">
      <w:lvlJc w:val="left"/>
      <w:lvlText w:val="(%2)"/>
      <w:numFmt w:val="lowerLetter"/>
      <w:start w:val="1"/>
    </w:lvl>
  </w:abstractNum>
  <w:abstractNum w:abstractNumId="30">
    <w:nsid w:val="2A487CB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decimal"/>
      <w:start w:val="1"/>
    </w:lvl>
  </w:abstractNum>
  <w:abstractNum w:abstractNumId="31">
    <w:nsid w:val="1D4ED43B"/>
    <w:multiLevelType w:val="hybridMultilevel"/>
    <w:lvl w:ilvl="0">
      <w:lvlJc w:val="left"/>
      <w:lvlText w:val="(%1)"/>
      <w:numFmt w:val="lowerLetter"/>
      <w:start w:val="3"/>
    </w:lvl>
    <w:lvl w:ilvl="1">
      <w:lvlJc w:val="left"/>
      <w:lvlText w:val="(%2)"/>
      <w:numFmt w:val="lowerLetter"/>
      <w:start w:val="9"/>
    </w:lvl>
    <w:lvl w:ilvl="2">
      <w:lvlJc w:val="left"/>
      <w:lvlText w:val="%3"/>
      <w:numFmt w:val="lowerRoman"/>
      <w:start w:val="1"/>
    </w:lvl>
    <w:lvl w:ilvl="3">
      <w:lvlJc w:val="left"/>
      <w:lvlText w:val="(%4)"/>
      <w:numFmt w:val="decimal"/>
      <w:start w:val="1"/>
    </w:lvl>
  </w:abstractNum>
  <w:abstractNum w:abstractNumId="32">
    <w:nsid w:val="725A06FB"/>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33">
    <w:nsid w:val="2CD89A32"/>
    <w:multiLevelType w:val="hybridMultilevel"/>
    <w:lvl w:ilvl="0">
      <w:lvlJc w:val="left"/>
      <w:lvlText w:val="(%1)"/>
      <w:numFmt w:val="decimal"/>
      <w:start w:val="3"/>
    </w:lvl>
    <w:lvl w:ilvl="1">
      <w:lvlJc w:val="left"/>
      <w:lvlText w:val="%2"/>
      <w:numFmt w:val="lowerRoman"/>
      <w:start w:val="1"/>
    </w:lvl>
    <w:lvl w:ilvl="2">
      <w:lvlJc w:val="left"/>
      <w:lvlText w:val="%3"/>
      <w:numFmt w:val="decimal"/>
      <w:start w:val="1"/>
    </w:lvl>
  </w:abstractNum>
  <w:abstractNum w:abstractNumId="34">
    <w:nsid w:val="57E4CCAF"/>
    <w:multiLevelType w:val="hybridMultilevel"/>
    <w:lvl w:ilvl="0">
      <w:lvlJc w:val="left"/>
      <w:lvlText w:val="(%1)"/>
      <w:numFmt w:val="lowerLetter"/>
      <w:start w:val="4"/>
    </w:lvl>
    <w:lvl w:ilvl="1">
      <w:lvlJc w:val="left"/>
      <w:lvlText w:val="(%2)"/>
      <w:numFmt w:val="lowerRoman"/>
      <w:start w:val="1"/>
    </w:lvl>
  </w:abstractNum>
  <w:abstractNum w:abstractNumId="35">
    <w:nsid w:val="7A6D8D3C"/>
    <w:multiLevelType w:val="hybridMultilevel"/>
    <w:lvl w:ilvl="0">
      <w:lvlJc w:val="left"/>
      <w:lvlText w:val="%1"/>
      <w:numFmt w:val="decimal"/>
      <w:start w:val="1"/>
    </w:lvl>
    <w:lvl w:ilvl="1">
      <w:lvlJc w:val="left"/>
      <w:lvlText w:val="(%2)"/>
      <w:numFmt w:val="lowerRoman"/>
      <w:start w:val="4"/>
    </w:lvl>
  </w:abstractNum>
  <w:abstractNum w:abstractNumId="36">
    <w:nsid w:val="4B588F54"/>
    <w:multiLevelType w:val="hybridMultilevel"/>
    <w:lvl w:ilvl="0">
      <w:lvlJc w:val="left"/>
      <w:lvlText w:val="%1."/>
      <w:numFmt w:val="decimal"/>
      <w:start w:val="12"/>
    </w:lvl>
    <w:lvl w:ilvl="1">
      <w:lvlJc w:val="left"/>
      <w:lvlText w:val="%2"/>
      <w:numFmt w:val="lowerRoman"/>
      <w:start w:val="1"/>
    </w:lvl>
  </w:abstractNum>
  <w:abstractNum w:abstractNumId="37">
    <w:nsid w:val="542289EC"/>
    <w:multiLevelType w:val="hybridMultilevel"/>
    <w:lvl w:ilvl="0">
      <w:lvlJc w:val="left"/>
      <w:lvlText w:val="%1."/>
      <w:numFmt w:val="decimal"/>
      <w:start w:val="13"/>
    </w:lvl>
  </w:abstractNum>
  <w:abstractNum w:abstractNumId="38">
    <w:nsid w:val="6DE91B18"/>
    <w:multiLevelType w:val="hybridMultilevel"/>
    <w:lvl w:ilvl="0">
      <w:lvlJc w:val="left"/>
      <w:lvlText w:val="%1."/>
      <w:numFmt w:val="decimal"/>
      <w:start w:val="14"/>
    </w:lvl>
  </w:abstractNum>
  <w:abstractNum w:abstractNumId="39">
    <w:nsid w:val="38437FDB"/>
    <w:multiLevelType w:val="hybridMultilevel"/>
    <w:lvl w:ilvl="0">
      <w:lvlJc w:val="left"/>
      <w:lvlText w:val="%1."/>
      <w:numFmt w:val="decimal"/>
      <w:start w:val="15"/>
    </w:lvl>
  </w:abstractNum>
  <w:abstractNum w:abstractNumId="40">
    <w:nsid w:val="7644A45C"/>
    <w:multiLevelType w:val="hybridMultilevel"/>
    <w:lvl w:ilvl="0">
      <w:lvlJc w:val="left"/>
      <w:lvlText w:val="(%1)"/>
      <w:numFmt w:val="lowerLetter"/>
      <w:start w:val="2"/>
    </w:lvl>
  </w:abstractNum>
  <w:abstractNum w:abstractNumId="41">
    <w:nsid w:val="32FFF902"/>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42">
    <w:nsid w:val="684A481A"/>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2"/>
    </w:lvl>
  </w:abstractNum>
  <w:abstractNum w:abstractNumId="43">
    <w:nsid w:val="579478FE"/>
    <w:multiLevelType w:val="hybridMultilevel"/>
    <w:lvl w:ilvl="0">
      <w:lvlJc w:val="left"/>
      <w:lvlText w:val="(%1)"/>
      <w:numFmt w:val="lowerLetter"/>
      <w:start w:val="10"/>
    </w:lvl>
    <w:lvl w:ilvl="1">
      <w:lvlJc w:val="left"/>
      <w:lvlText w:val="(%2)"/>
      <w:numFmt w:val="lowerRoman"/>
      <w:start w:val="1"/>
    </w:lvl>
  </w:abstractNum>
  <w:abstractNum w:abstractNumId="44">
    <w:nsid w:val="749ABB43"/>
    <w:multiLevelType w:val="hybridMultilevel"/>
    <w:lvl w:ilvl="0">
      <w:lvlJc w:val="left"/>
      <w:lvlText w:val="%1"/>
      <w:numFmt w:val="lowerLetter"/>
      <w:start w:val="1"/>
    </w:lvl>
    <w:lvl w:ilvl="1">
      <w:lvlJc w:val="left"/>
      <w:lvlText w:val="(%2)"/>
      <w:numFmt w:val="lowerRoman"/>
      <w:start w:val="3"/>
    </w:lvl>
  </w:abstractNum>
  <w:abstractNum w:abstractNumId="45">
    <w:nsid w:val="3DC240FB"/>
    <w:multiLevelType w:val="hybridMultilevel"/>
    <w:lvl w:ilvl="0">
      <w:lvlJc w:val="left"/>
      <w:lvlText w:val="(%1)"/>
      <w:numFmt w:val="lowerLetter"/>
      <w:start w:val="17"/>
    </w:lvl>
    <w:lvl w:ilvl="1">
      <w:lvlJc w:val="left"/>
      <w:lvlText w:val="(%2)"/>
      <w:numFmt w:val="lowerRoman"/>
      <w:start w:val="1"/>
    </w:lvl>
  </w:abstractNum>
  <w:abstractNum w:abstractNumId="46">
    <w:nsid w:val="1BA026FA"/>
    <w:multiLevelType w:val="hybridMultilevel"/>
    <w:lvl w:ilvl="0">
      <w:lvlJc w:val="left"/>
      <w:lvlText w:val="(%1)"/>
      <w:numFmt w:val="lowerRoman"/>
      <w:start w:val="2"/>
    </w:lvl>
  </w:abstractNum>
  <w:abstractNum w:abstractNumId="47">
    <w:nsid w:val="79A1DEAA"/>
    <w:multiLevelType w:val="hybridMultilevel"/>
    <w:lvl w:ilvl="0">
      <w:lvlJc w:val="left"/>
      <w:lvlText w:val="(%1)"/>
      <w:numFmt w:val="lowerLetter"/>
      <w:start w:val="26"/>
    </w:lvl>
  </w:abstractNum>
  <w:abstractNum w:abstractNumId="48">
    <w:nsid w:val="75C6C33A"/>
    <w:multiLevelType w:val="hybridMultilevel"/>
    <w:lvl w:ilvl="0">
      <w:lvlJc w:val="left"/>
      <w:lvlText w:val="(%1)"/>
      <w:numFmt w:val="lowerLetter"/>
      <w:start w:val="27"/>
    </w:lvl>
  </w:abstractNum>
  <w:abstractNum w:abstractNumId="49">
    <w:nsid w:val="12E685FB"/>
    <w:multiLevelType w:val="hybridMultilevel"/>
    <w:lvl w:ilvl="0">
      <w:lvlJc w:val="left"/>
      <w:lvlText w:val="(%1)"/>
      <w:numFmt w:val="lowerLetter"/>
      <w:start w:val="32"/>
    </w:lvl>
  </w:abstractNum>
  <w:abstractNum w:abstractNumId="50">
    <w:nsid w:val="70C6A529"/>
    <w:multiLevelType w:val="hybridMultilevel"/>
    <w:lvl w:ilvl="0">
      <w:lvlJc w:val="left"/>
      <w:lvlText w:val="(%1)"/>
      <w:numFmt w:val="lowerLetter"/>
      <w:start w:val="43"/>
    </w:lvl>
  </w:abstractNum>
  <w:abstractNum w:abstractNumId="51">
    <w:nsid w:val="520EEDD1"/>
    <w:multiLevelType w:val="hybridMultilevel"/>
    <w:lvl w:ilvl="0">
      <w:lvlJc w:val="left"/>
      <w:lvlText w:val="(%1)"/>
      <w:numFmt w:val="lowerLetter"/>
      <w:start w:val="44"/>
    </w:lvl>
  </w:abstractNum>
  <w:abstractNum w:abstractNumId="52">
    <w:nsid w:val="374A3FE6"/>
    <w:multiLevelType w:val="hybridMultilevel"/>
    <w:lvl w:ilvl="0">
      <w:lvlJc w:val="left"/>
      <w:lvlText w:val="(%1)"/>
      <w:numFmt w:val="lowerLetter"/>
      <w:start w:val="52"/>
    </w:lvl>
  </w:abstractNum>
  <w:abstractNum w:abstractNumId="53">
    <w:nsid w:val="4F4EF005"/>
    <w:multiLevelType w:val="hybridMultilevel"/>
    <w:lvl w:ilvl="0">
      <w:lvlJc w:val="left"/>
      <w:lvlText w:val="(%1)"/>
      <w:numFmt w:val="lowerLetter"/>
      <w:start w:val="53"/>
    </w:lvl>
  </w:abstractNum>
  <w:abstractNum w:abstractNumId="54">
    <w:nsid w:val="23F9C13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jpeg"/><Relationship Id="rId30" Type="http://schemas.openxmlformats.org/officeDocument/2006/relationships/image" Target="media/image16.png"/><Relationship Id="rId31" Type="http://schemas.openxmlformats.org/officeDocument/2006/relationships/image" Target="media/image17.jpe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18" Type="http://schemas.openxmlformats.org/officeDocument/2006/relationships/hyperlink" Target="https://www.sec.gov/ix?doc=/Archives/edgar/data/0001287098/000110465926034557/mxct-20251231x10k.htm" TargetMode="External"/><Relationship Id="rId19" Type="http://schemas.openxmlformats.org/officeDocument/2006/relationships/hyperlink" Target="https://www.sec.gov/ix?doc=/Archives/edgar/data/0001287098/000110465926032761/mxct-20260316x8k.htm" TargetMode="External"/><Relationship Id="rId20" Type="http://schemas.openxmlformats.org/officeDocument/2006/relationships/hyperlink" Target="https://www.sec.gov/ix?doc=/Archives/edgar/data/0001287098/000110465926036201/mxct-20260323x8k.htm" TargetMode="External"/><Relationship Id="rId21" Type="http://schemas.openxmlformats.org/officeDocument/2006/relationships/hyperlink" Target="https://www.sec.gov/Archives/edgar/data/1287098/000110465921095955/tm2113965d10_8a12b.htm" TargetMode="External"/><Relationship Id="rId22" Type="http://schemas.openxmlformats.org/officeDocument/2006/relationships/hyperlink" Target="https://www.sec.gov/Archives/edgar/data/1287098/000155837022004081/mxct-20211231xex4d1.htm" TargetMode="External"/><Relationship Id="rId24" Type="http://schemas.openxmlformats.org/officeDocument/2006/relationships/hyperlink" Target="https://www.sec.gov/Archives/edgar/data/1287098/000110465921095556/tm2113965d9_ex3-1.htm" TargetMode="External"/><Relationship Id="rId25" Type="http://schemas.openxmlformats.org/officeDocument/2006/relationships/hyperlink" Target="https://www.sec.gov/Archives/edgar/data/1287098/000110465921100067/tm2113965d16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2026-04-15T15:23:22Z</dcterms:created>
  <dcterms:modified xsi:type="dcterms:W3CDTF">2026-04-15T15:23:22Z</dcterms:modified>
</cp:coreProperties>
</file>